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0E762" w14:textId="77777777" w:rsidR="00F612B8" w:rsidRPr="0082498D" w:rsidRDefault="00F612B8" w:rsidP="00F612B8">
      <w:pPr>
        <w:jc w:val="center"/>
        <w:rPr>
          <w:b/>
        </w:rPr>
      </w:pPr>
      <w:bookmarkStart w:id="0" w:name="_GoBack"/>
      <w:bookmarkEnd w:id="0"/>
      <w:r w:rsidRPr="0082498D">
        <w:rPr>
          <w:b/>
        </w:rPr>
        <w:t>Response to TSVCM’s public consultation</w:t>
      </w:r>
    </w:p>
    <w:p w14:paraId="5CB970FE" w14:textId="77777777" w:rsidR="00F612B8" w:rsidRDefault="00F612B8"/>
    <w:p w14:paraId="5130AAAC" w14:textId="77777777" w:rsidR="00B22077" w:rsidRDefault="00F612B8">
      <w:r>
        <w:t>To: Task Force for Scaling Voluntary Carbon Markets (TSVCM)</w:t>
      </w:r>
      <w:r w:rsidR="00F1139A">
        <w:t xml:space="preserve"> – the ‘Task Force’</w:t>
      </w:r>
    </w:p>
    <w:p w14:paraId="53105FA0" w14:textId="77777777" w:rsidR="00F612B8" w:rsidRDefault="00F612B8">
      <w:r>
        <w:t>From: UN Convened Net Zero Asset Owner Alliance (NZAOA)</w:t>
      </w:r>
      <w:r w:rsidR="00F1139A">
        <w:t xml:space="preserve"> – the ‘Alliance’</w:t>
      </w:r>
    </w:p>
    <w:p w14:paraId="3631607B" w14:textId="77777777" w:rsidR="0082498D" w:rsidRPr="0082498D" w:rsidRDefault="0082498D" w:rsidP="0082498D">
      <w:pPr>
        <w:ind w:left="720"/>
        <w:rPr>
          <w:i/>
          <w:iCs/>
        </w:rPr>
      </w:pPr>
      <w:r w:rsidRPr="0082498D">
        <w:rPr>
          <w:i/>
          <w:iCs/>
        </w:rPr>
        <w:t>[Potentially add the GISD as co-author]</w:t>
      </w:r>
    </w:p>
    <w:p w14:paraId="1F4F22FB" w14:textId="77777777" w:rsidR="00F612B8" w:rsidRDefault="00F612B8">
      <w:r>
        <w:t xml:space="preserve">Subject: NZAOA </w:t>
      </w:r>
      <w:r w:rsidR="0082498D" w:rsidRPr="0082498D">
        <w:rPr>
          <w:i/>
        </w:rPr>
        <w:t>[</w:t>
      </w:r>
      <w:r w:rsidR="003A6252">
        <w:rPr>
          <w:i/>
        </w:rPr>
        <w:t xml:space="preserve">OR: </w:t>
      </w:r>
      <w:r w:rsidR="0082498D" w:rsidRPr="0082498D">
        <w:rPr>
          <w:i/>
        </w:rPr>
        <w:t>Joint NZAOA &amp; GISD]</w:t>
      </w:r>
      <w:r w:rsidR="0082498D">
        <w:t xml:space="preserve"> </w:t>
      </w:r>
      <w:r>
        <w:t>position with respect to the TSVCM’s public consultation</w:t>
      </w:r>
    </w:p>
    <w:p w14:paraId="39FDB7EC" w14:textId="77777777" w:rsidR="00F612B8" w:rsidRDefault="00F612B8"/>
    <w:p w14:paraId="5585B02D" w14:textId="77777777" w:rsidR="00F612B8" w:rsidRDefault="00F612B8">
      <w:r w:rsidRPr="00F1139A">
        <w:rPr>
          <w:b/>
        </w:rPr>
        <w:t xml:space="preserve">NZAOA </w:t>
      </w:r>
      <w:r w:rsidR="000B3181">
        <w:rPr>
          <w:b/>
        </w:rPr>
        <w:t xml:space="preserve">– the Alliance – </w:t>
      </w:r>
      <w:r w:rsidR="00BD02EF">
        <w:rPr>
          <w:b/>
        </w:rPr>
        <w:t>warmly</w:t>
      </w:r>
      <w:r w:rsidRPr="00F1139A">
        <w:rPr>
          <w:b/>
        </w:rPr>
        <w:t xml:space="preserve"> welcomes the TSVCM’s efforts to create a global standard for high-quality carbon credits</w:t>
      </w:r>
      <w:r w:rsidR="00F1139A">
        <w:t xml:space="preserve">. Putting a ‘fair’ price on carbon, </w:t>
      </w:r>
      <w:proofErr w:type="spellStart"/>
      <w:r w:rsidR="00F1139A">
        <w:t>ie</w:t>
      </w:r>
      <w:proofErr w:type="spellEnd"/>
      <w:r w:rsidR="00F1139A">
        <w:t xml:space="preserve"> a price that accurately reflects the tight remaining global carbon budget, is one key instrument to limit global warming. At the same time the Alliance </w:t>
      </w:r>
      <w:r w:rsidR="0020707E">
        <w:t>s</w:t>
      </w:r>
      <w:r>
        <w:t>hare</w:t>
      </w:r>
      <w:r w:rsidR="0020707E">
        <w:t>s</w:t>
      </w:r>
      <w:r>
        <w:t xml:space="preserve"> concerns </w:t>
      </w:r>
      <w:r w:rsidR="0020707E">
        <w:t>voiced</w:t>
      </w:r>
      <w:r>
        <w:t xml:space="preserve"> </w:t>
      </w:r>
      <w:r w:rsidR="00E77DE7">
        <w:t xml:space="preserve">during the </w:t>
      </w:r>
      <w:r w:rsidR="0020707E">
        <w:t>Task Force</w:t>
      </w:r>
      <w:r w:rsidR="00E77DE7">
        <w:t>’s phase 1 survey</w:t>
      </w:r>
      <w:r>
        <w:t xml:space="preserve"> with regards to </w:t>
      </w:r>
      <w:r w:rsidR="004F6ECC">
        <w:t xml:space="preserve">credits traded in voluntary carbon markets today being </w:t>
      </w:r>
      <w:r w:rsidR="0020707E">
        <w:t xml:space="preserve">partially </w:t>
      </w:r>
      <w:r w:rsidR="004F6ECC">
        <w:t xml:space="preserve">of </w:t>
      </w:r>
      <w:r w:rsidR="0020707E">
        <w:t xml:space="preserve">inferior </w:t>
      </w:r>
      <w:r>
        <w:t xml:space="preserve">quality </w:t>
      </w:r>
      <w:r w:rsidR="0020707E">
        <w:t>as well as sometimes lacking integrity</w:t>
      </w:r>
      <w:r w:rsidR="00E77DE7">
        <w:t xml:space="preserve"> incl. risks</w:t>
      </w:r>
      <w:r w:rsidR="0020707E">
        <w:t xml:space="preserve"> </w:t>
      </w:r>
      <w:proofErr w:type="gramStart"/>
      <w:r w:rsidR="0020707E">
        <w:t>with regard to</w:t>
      </w:r>
      <w:proofErr w:type="gramEnd"/>
      <w:r w:rsidR="00E77DE7">
        <w:t xml:space="preserve"> double-counting</w:t>
      </w:r>
      <w:r>
        <w:t xml:space="preserve"> </w:t>
      </w:r>
      <w:r w:rsidR="0020707E">
        <w:t>of one credit. The Alliance stresses that “</w:t>
      </w:r>
      <w:r>
        <w:t>greenwashing</w:t>
      </w:r>
      <w:r w:rsidR="00E77DE7">
        <w:t>” though use of sub-</w:t>
      </w:r>
      <w:r w:rsidR="0020707E">
        <w:t>quality</w:t>
      </w:r>
      <w:r w:rsidR="00E77DE7">
        <w:t xml:space="preserve"> carbon credits must be avoided.</w:t>
      </w:r>
    </w:p>
    <w:p w14:paraId="04C48737" w14:textId="77777777" w:rsidR="00C633D9" w:rsidRDefault="00C633D9" w:rsidP="00C633D9">
      <w:r w:rsidRPr="00C633D9">
        <w:rPr>
          <w:b/>
        </w:rPr>
        <w:t>The Alliance strongly supports the TSVCM’s “Reduce-Report-Offset” sequence</w:t>
      </w:r>
      <w:r>
        <w:t xml:space="preserve"> by which corporates are encouraged to </w:t>
      </w:r>
      <w:proofErr w:type="spellStart"/>
      <w:r>
        <w:t>i</w:t>
      </w:r>
      <w:proofErr w:type="spellEnd"/>
      <w:r>
        <w:t>) put highest priority on reducing own emissions, ii</w:t>
      </w:r>
      <w:proofErr w:type="gramStart"/>
      <w:r>
        <w:t>)  transparently</w:t>
      </w:r>
      <w:proofErr w:type="gramEnd"/>
      <w:r>
        <w:t xml:space="preserve"> report about remaining emissions, and iii) offset remaining emissions. </w:t>
      </w:r>
      <w:r w:rsidRPr="00C633D9">
        <w:t xml:space="preserve">Alliance </w:t>
      </w:r>
      <w:r w:rsidR="004F6ECC">
        <w:t>members are</w:t>
      </w:r>
      <w:r w:rsidRPr="00C633D9">
        <w:t xml:space="preserve"> </w:t>
      </w:r>
      <w:r w:rsidR="00843C3C" w:rsidRPr="00C633D9">
        <w:t>fully committed to r</w:t>
      </w:r>
      <w:r w:rsidR="00F612B8" w:rsidRPr="00C633D9">
        <w:t xml:space="preserve">educe </w:t>
      </w:r>
      <w:r w:rsidR="00843C3C" w:rsidRPr="00C633D9">
        <w:t xml:space="preserve">emissions </w:t>
      </w:r>
      <w:r w:rsidR="00F612B8" w:rsidRPr="00C633D9">
        <w:t>in line with science</w:t>
      </w:r>
      <w:r w:rsidR="00843C3C" w:rsidRPr="00C633D9">
        <w:t xml:space="preserve"> to achieve a net zero state by 2050.</w:t>
      </w:r>
      <w:r w:rsidR="00843C3C">
        <w:t xml:space="preserve"> As such, the Alliance – in line with recommendations issued by </w:t>
      </w:r>
      <w:proofErr w:type="spellStart"/>
      <w:r w:rsidR="00843C3C">
        <w:t>SBTi</w:t>
      </w:r>
      <w:proofErr w:type="spellEnd"/>
      <w:r w:rsidR="00843C3C">
        <w:rPr>
          <w:rStyle w:val="FootnoteReference"/>
        </w:rPr>
        <w:footnoteReference w:id="1"/>
      </w:r>
      <w:r w:rsidR="00843C3C">
        <w:t xml:space="preserve"> - </w:t>
      </w:r>
      <w:r w:rsidR="00843C3C" w:rsidRPr="00843C3C">
        <w:t xml:space="preserve">believes that </w:t>
      </w:r>
      <w:r w:rsidR="00843C3C">
        <w:t>i</w:t>
      </w:r>
      <w:r w:rsidR="00843C3C" w:rsidRPr="00843C3C">
        <w:t xml:space="preserve">mmediate efforts must </w:t>
      </w:r>
      <w:r w:rsidR="0082498D" w:rsidRPr="00843C3C">
        <w:t>prioritize</w:t>
      </w:r>
      <w:r w:rsidR="00843C3C" w:rsidRPr="00843C3C">
        <w:t xml:space="preserve"> cutting greenhouse gas emissions rapidly and deeply</w:t>
      </w:r>
      <w:r w:rsidR="00843C3C">
        <w:t>. To the extent that residual emissions can’t be reduced further, removing a corresponding amount of emissions within or outside a company’s value chain is a valid secondary option</w:t>
      </w:r>
      <w:r>
        <w:t xml:space="preserve"> (‘neutralization’)</w:t>
      </w:r>
      <w:r w:rsidR="00843C3C">
        <w:t xml:space="preserve">. </w:t>
      </w:r>
      <w:r w:rsidR="00843C3C" w:rsidRPr="0020707E">
        <w:rPr>
          <w:i/>
        </w:rPr>
        <w:t>In transitioning to</w:t>
      </w:r>
      <w:r w:rsidR="00843C3C">
        <w:t xml:space="preserve"> </w:t>
      </w:r>
      <w:r w:rsidR="00F1139A">
        <w:t xml:space="preserve">a </w:t>
      </w:r>
      <w:r w:rsidR="00843C3C">
        <w:t>net zero</w:t>
      </w:r>
      <w:r w:rsidR="00F1139A">
        <w:t xml:space="preserve"> state</w:t>
      </w:r>
      <w:r w:rsidR="00843C3C">
        <w:t xml:space="preserve">, although not in an end-state, also compensation strategies, </w:t>
      </w:r>
      <w:proofErr w:type="spellStart"/>
      <w:r w:rsidR="00843C3C">
        <w:t>ie</w:t>
      </w:r>
      <w:proofErr w:type="spellEnd"/>
      <w:r w:rsidR="00843C3C">
        <w:t xml:space="preserve"> avoiding or reducing emissions outside of a company’s own value chain, are valid means to support climate action</w:t>
      </w:r>
      <w:r w:rsidR="009D1473">
        <w:t>, subject to meeting high quality standards as those defined by the Taskforce.</w:t>
      </w:r>
      <w:r w:rsidR="00F1139A">
        <w:t xml:space="preserve"> </w:t>
      </w:r>
    </w:p>
    <w:p w14:paraId="02840CCB" w14:textId="77777777" w:rsidR="00F612B8" w:rsidRDefault="004F6ECC">
      <w:r>
        <w:rPr>
          <w:b/>
        </w:rPr>
        <w:t>Therefore, t</w:t>
      </w:r>
      <w:r w:rsidR="0020707E" w:rsidRPr="0020707E">
        <w:rPr>
          <w:b/>
        </w:rPr>
        <w:t>he Taskforce’s proposal to establish</w:t>
      </w:r>
      <w:r w:rsidR="00F612B8" w:rsidRPr="0020707E">
        <w:rPr>
          <w:b/>
        </w:rPr>
        <w:t xml:space="preserve"> “Core Carbon Principles” as a global standard to define high-quality credits </w:t>
      </w:r>
      <w:r w:rsidR="0020707E" w:rsidRPr="0020707E">
        <w:rPr>
          <w:b/>
        </w:rPr>
        <w:t xml:space="preserve">is </w:t>
      </w:r>
      <w:r w:rsidR="00C633D9">
        <w:rPr>
          <w:b/>
        </w:rPr>
        <w:t>very much</w:t>
      </w:r>
      <w:r w:rsidR="00F612B8" w:rsidRPr="0020707E">
        <w:rPr>
          <w:b/>
        </w:rPr>
        <w:t xml:space="preserve"> supported</w:t>
      </w:r>
      <w:r w:rsidR="0020707E" w:rsidRPr="0020707E">
        <w:rPr>
          <w:b/>
        </w:rPr>
        <w:t xml:space="preserve"> by the Alliance</w:t>
      </w:r>
      <w:r w:rsidR="00F612B8" w:rsidRPr="0020707E">
        <w:rPr>
          <w:b/>
        </w:rPr>
        <w:t>,</w:t>
      </w:r>
      <w:r w:rsidR="00F612B8">
        <w:t xml:space="preserve"> incl. setting-up of a governance body that hosts the CCPs</w:t>
      </w:r>
      <w:r w:rsidR="0082498D">
        <w:t>. The Alliance especially welcomes the transparent set of “additional attributes”</w:t>
      </w:r>
      <w:r w:rsidR="0082498D">
        <w:tab/>
        <w:t xml:space="preserve"> that will help buyers in this market to clearly distinguish ‘avoidance &amp; reduction’ credits from ‘removal’ credits and ‘nature-based’ from ‘technical’ solutions, next to various other </w:t>
      </w:r>
      <w:r w:rsidR="00BD02EF">
        <w:t>relevant distinguishing features</w:t>
      </w:r>
      <w:r w:rsidR="0082498D">
        <w:t>.</w:t>
      </w:r>
    </w:p>
    <w:p w14:paraId="1EEB89FC" w14:textId="77777777" w:rsidR="00994B41" w:rsidRDefault="00994B41">
      <w:r w:rsidRPr="00994B41">
        <w:rPr>
          <w:b/>
        </w:rPr>
        <w:t>Rightfully, the current draft Core Carbon Principles include strict requirements with regards to financial additionality</w:t>
      </w:r>
      <w:r>
        <w:t xml:space="preserve">, </w:t>
      </w:r>
      <w:proofErr w:type="spellStart"/>
      <w:r>
        <w:t>ie</w:t>
      </w:r>
      <w:proofErr w:type="spellEnd"/>
      <w:r>
        <w:t xml:space="preserve"> the profitability of projects issuing credits – before selling </w:t>
      </w:r>
      <w:r w:rsidR="00F52BCF">
        <w:t xml:space="preserve">these </w:t>
      </w:r>
      <w:r>
        <w:t xml:space="preserve">credits – must be either negative or at least substantially below commensurate return-on-equity measures for projects of similar risks. The Alliance </w:t>
      </w:r>
      <w:r w:rsidR="00F52BCF">
        <w:t xml:space="preserve">believes that financial additionality shall be demonstrated at project-level, while key parameters of this test shall be disclosed. It is acknowledged that certain – especially removal </w:t>
      </w:r>
      <w:r w:rsidR="00F52BCF">
        <w:lastRenderedPageBreak/>
        <w:t>– credits today have no possibility of being financially viable stand-alone. As technologies will evolve, the profitability of such projects may rise in the future up to a point where, potentially, further support through selling credits becomes irrelevant. Therefore, the Alliance opines against excluding certain technologies or methodologies from having to pass financial additionality tests.</w:t>
      </w:r>
    </w:p>
    <w:p w14:paraId="4D1951E7" w14:textId="77777777" w:rsidR="00584483" w:rsidRDefault="00584483">
      <w:pPr>
        <w:rPr>
          <w:b/>
        </w:rPr>
      </w:pPr>
      <w:r w:rsidRPr="00AF6C77">
        <w:rPr>
          <w:b/>
        </w:rPr>
        <w:t>In order to achieve a net zero state, carbon removal technologies will likely have to play a decisive role, be it to neutralize unabated emissions by then or to enlarge the scarce remaining global carbon credit.</w:t>
      </w:r>
      <w:r>
        <w:t xml:space="preserve"> The Alliance believes that more should be done to foster financial viability of relevant projects</w:t>
      </w:r>
      <w:r w:rsidR="00AF6C77">
        <w:t xml:space="preserve">. Similar considerations have led to defining and creating so-called Paris-aligned benchmarks, which are efforts by the European Union Commission to create market standards for investments in listed instruments, taking both a net-zero end state, as well as a trajectory to achieving this end-state into account. </w:t>
      </w:r>
      <w:r>
        <w:t xml:space="preserve">For this reason, the Alliance recommends to the Task Force or to the future governance body to consider </w:t>
      </w:r>
      <w:r w:rsidR="00AF6C77">
        <w:t>taking a position with regards to the appropriate percentage share of removal credits in the global CCP-aligned credit market at any future point in time, and to consider defining ex-ante trajectories as to how the percentage share of removal credits within the global CCP-aligned credit market shall be evolving over time. This would contribute to setting incentives for project developers to consider developing removal projects.</w:t>
      </w:r>
    </w:p>
    <w:p w14:paraId="5F67F517" w14:textId="77777777" w:rsidR="00F612B8" w:rsidRDefault="008B76A4">
      <w:r w:rsidRPr="00F7091C">
        <w:rPr>
          <w:b/>
        </w:rPr>
        <w:t xml:space="preserve">When it comes to defining principles how to compose the governance body’s board, the Alliance recommends a significant representation of </w:t>
      </w:r>
      <w:r w:rsidR="00F7091C" w:rsidRPr="00F7091C">
        <w:rPr>
          <w:b/>
        </w:rPr>
        <w:t>active market representatives on the board</w:t>
      </w:r>
      <w:r w:rsidR="00F7091C">
        <w:t>, to ensure that valid interests of both buying and selling parties in voluntary carbon markets are being heard. The Alliance acknowledges the Task Force’s attempt to uphold highest standards of integrity by avoiding actual or perceived conflicts of interest. Balancing between both the legitimate goal to avoid these conflicts while still having market participants playing an active role in shaping the market place in which they interact, the Alliance recommends extensive transparency on voting behaviors by single board members.</w:t>
      </w:r>
    </w:p>
    <w:p w14:paraId="32325BF5" w14:textId="77777777" w:rsidR="00F612B8" w:rsidRDefault="004F6ECC">
      <w:r w:rsidRPr="004F6ECC">
        <w:rPr>
          <w:b/>
        </w:rPr>
        <w:t xml:space="preserve">Next to credit suppliers and parties wanting to offset own emissions, the Alliance stresses the importance of financial intermediaries and investors </w:t>
      </w:r>
      <w:r>
        <w:rPr>
          <w:b/>
        </w:rPr>
        <w:t>as</w:t>
      </w:r>
      <w:r w:rsidR="00994B41">
        <w:rPr>
          <w:b/>
        </w:rPr>
        <w:t xml:space="preserve"> potential</w:t>
      </w:r>
      <w:r>
        <w:rPr>
          <w:b/>
        </w:rPr>
        <w:t xml:space="preserve"> participants in a voluntary carbon market. </w:t>
      </w:r>
      <w:r w:rsidRPr="004F6ECC">
        <w:t xml:space="preserve">Interest from these ‘financial players’ to engage might be driven by the desire to offset emissions that these parties finance, or because </w:t>
      </w:r>
      <w:r>
        <w:t xml:space="preserve">of an investment motive. </w:t>
      </w:r>
      <w:r w:rsidR="00BF1DFA">
        <w:t xml:space="preserve">Having the historical ambiguity </w:t>
      </w:r>
      <w:r>
        <w:t>in compliance carbon markets</w:t>
      </w:r>
      <w:r w:rsidR="00BF1DFA">
        <w:t xml:space="preserve"> in mind</w:t>
      </w:r>
      <w:r>
        <w:t xml:space="preserve">, the Alliance recommends that the Task Force or the future governance body liaise early on with legislators and regulators to clarify and define </w:t>
      </w:r>
      <w:r w:rsidR="00994B41">
        <w:t>regulatory</w:t>
      </w:r>
      <w:r w:rsidR="00BF1DFA">
        <w:t xml:space="preserve"> aspects of</w:t>
      </w:r>
      <w:r>
        <w:t xml:space="preserve"> voluntary </w:t>
      </w:r>
      <w:r w:rsidR="00BF1DFA">
        <w:t xml:space="preserve">carbon credits. This includes questions including </w:t>
      </w:r>
      <w:r w:rsidR="00994B41">
        <w:t xml:space="preserve">whether </w:t>
      </w:r>
      <w:r w:rsidR="00BF1DFA">
        <w:t xml:space="preserve">credits </w:t>
      </w:r>
      <w:r w:rsidR="00994B41">
        <w:t xml:space="preserve">qualify </w:t>
      </w:r>
      <w:r w:rsidR="00BF1DFA">
        <w:t xml:space="preserve">as financial instruments, eligibility for investment by mutual funds and risk capital charges.  </w:t>
      </w:r>
    </w:p>
    <w:p w14:paraId="50FE8F5C" w14:textId="77777777" w:rsidR="00BF1DFA" w:rsidRPr="004F6ECC" w:rsidRDefault="00BF1DFA"/>
    <w:sectPr w:rsidR="00BF1DFA" w:rsidRPr="004F6EC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3025B" w14:textId="77777777" w:rsidR="00904849" w:rsidRDefault="00904849" w:rsidP="00F612B8">
      <w:pPr>
        <w:spacing w:after="0" w:line="240" w:lineRule="auto"/>
      </w:pPr>
      <w:r>
        <w:separator/>
      </w:r>
    </w:p>
  </w:endnote>
  <w:endnote w:type="continuationSeparator" w:id="0">
    <w:p w14:paraId="7F4E0FBE" w14:textId="77777777" w:rsidR="00904849" w:rsidRDefault="00904849" w:rsidP="00F6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okila">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78586" w14:textId="77777777" w:rsidR="00904849" w:rsidRDefault="00904849" w:rsidP="00F612B8">
      <w:pPr>
        <w:spacing w:after="0" w:line="240" w:lineRule="auto"/>
      </w:pPr>
      <w:r>
        <w:separator/>
      </w:r>
    </w:p>
  </w:footnote>
  <w:footnote w:type="continuationSeparator" w:id="0">
    <w:p w14:paraId="274BA0DD" w14:textId="77777777" w:rsidR="00904849" w:rsidRDefault="00904849" w:rsidP="00F612B8">
      <w:pPr>
        <w:spacing w:after="0" w:line="240" w:lineRule="auto"/>
      </w:pPr>
      <w:r>
        <w:continuationSeparator/>
      </w:r>
    </w:p>
  </w:footnote>
  <w:footnote w:id="1">
    <w:p w14:paraId="48FDCF86" w14:textId="77777777" w:rsidR="00843C3C" w:rsidRDefault="00843C3C">
      <w:pPr>
        <w:pStyle w:val="FootnoteText"/>
      </w:pPr>
      <w:r>
        <w:rPr>
          <w:rStyle w:val="FootnoteReference"/>
        </w:rPr>
        <w:footnoteRef/>
      </w:r>
      <w:r>
        <w:t xml:space="preserve"> Science Based Targets Initiatives: Foundations for Science-Based Net Zero Target Setting in the Corporate Sector, September 2020</w:t>
      </w:r>
      <w:r w:rsidR="0082498D">
        <w:t>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653A" w14:textId="77777777" w:rsidR="00BF1DFA" w:rsidRDefault="00BF1DFA">
    <w:pPr>
      <w:pStyle w:val="Header"/>
    </w:pPr>
    <w:r>
      <w:rPr>
        <w:noProof/>
      </w:rPr>
      <mc:AlternateContent>
        <mc:Choice Requires="wps">
          <w:drawing>
            <wp:anchor distT="0" distB="0" distL="114300" distR="114300" simplePos="0" relativeHeight="251659264" behindDoc="0" locked="0" layoutInCell="0" allowOverlap="1" wp14:anchorId="41945144" wp14:editId="71FE6F39">
              <wp:simplePos x="0" y="0"/>
              <wp:positionH relativeFrom="page">
                <wp:posOffset>0</wp:posOffset>
              </wp:positionH>
              <wp:positionV relativeFrom="page">
                <wp:posOffset>190500</wp:posOffset>
              </wp:positionV>
              <wp:extent cx="7772400" cy="273050"/>
              <wp:effectExtent l="0" t="0" r="0" b="12700"/>
              <wp:wrapNone/>
              <wp:docPr id="1" name="MSIPCMa15c4c7fbc4bfd691603a7ae" descr="{&quot;HashCode&quot;:41790946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0742AD" w14:textId="77777777" w:rsidR="00BF1DFA" w:rsidRPr="00BF1DFA" w:rsidRDefault="00BF1DFA" w:rsidP="00BF1DFA">
                          <w:pPr>
                            <w:spacing w:after="0"/>
                            <w:jc w:val="center"/>
                            <w:rPr>
                              <w:rFonts w:ascii="Calibri" w:hAnsi="Calibri" w:cs="Calibri"/>
                              <w:color w:val="000000"/>
                              <w:sz w:val="20"/>
                            </w:rPr>
                          </w:pPr>
                          <w:r w:rsidRPr="00BF1DFA">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15c4c7fbc4bfd691603a7ae" o:spid="_x0000_s1026" type="#_x0000_t202" alt="{&quot;HashCode&quot;:417909460,&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" o:allowincell="f" filled="f" stroked="f" strokeweight=".5pt">
              <v:fill o:detectmouseclick="t"/>
              <v:textbox inset=",0,,0">
                <w:txbxContent>
                  <w:p w:rsidR="00BF1DFA" w:rsidRPr="00BF1DFA" w:rsidRDefault="00BF1DFA" w:rsidP="00BF1DFA">
                    <w:pPr>
                      <w:spacing w:after="0"/>
                      <w:jc w:val="center"/>
                      <w:rPr>
                        <w:rFonts w:ascii="Calibri" w:hAnsi="Calibri" w:cs="Calibri"/>
                        <w:color w:val="000000"/>
                        <w:sz w:val="20"/>
                      </w:rPr>
                    </w:pPr>
                    <w:r w:rsidRPr="00BF1DFA">
                      <w:rPr>
                        <w:rFonts w:ascii="Calibri" w:hAnsi="Calibri" w:cs="Calibri"/>
                        <w:color w:val="000000"/>
                        <w:sz w:val="20"/>
                      </w:rPr>
                      <w:t>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B8"/>
    <w:rsid w:val="000B3181"/>
    <w:rsid w:val="0015273E"/>
    <w:rsid w:val="0020707E"/>
    <w:rsid w:val="003A6252"/>
    <w:rsid w:val="004F6ECC"/>
    <w:rsid w:val="00584483"/>
    <w:rsid w:val="0082498D"/>
    <w:rsid w:val="00843C3C"/>
    <w:rsid w:val="008B76A4"/>
    <w:rsid w:val="00904849"/>
    <w:rsid w:val="00994B41"/>
    <w:rsid w:val="009A0C72"/>
    <w:rsid w:val="009D1473"/>
    <w:rsid w:val="00AF6C77"/>
    <w:rsid w:val="00B22077"/>
    <w:rsid w:val="00BD02EF"/>
    <w:rsid w:val="00BF1DFA"/>
    <w:rsid w:val="00C24373"/>
    <w:rsid w:val="00C633D9"/>
    <w:rsid w:val="00E77DE7"/>
    <w:rsid w:val="00F1139A"/>
    <w:rsid w:val="00F52BCF"/>
    <w:rsid w:val="00F612B8"/>
    <w:rsid w:val="00F7091C"/>
    <w:rsid w:val="00FD13B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49323"/>
  <w15:chartTrackingRefBased/>
  <w15:docId w15:val="{D17C3847-E281-4D02-B19B-389A345D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Koki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3C3C"/>
    <w:pPr>
      <w:spacing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843C3C"/>
    <w:rPr>
      <w:rFonts w:cs="Mangal"/>
      <w:sz w:val="20"/>
      <w:szCs w:val="18"/>
    </w:rPr>
  </w:style>
  <w:style w:type="character" w:styleId="FootnoteReference">
    <w:name w:val="footnote reference"/>
    <w:basedOn w:val="DefaultParagraphFont"/>
    <w:uiPriority w:val="99"/>
    <w:semiHidden/>
    <w:unhideWhenUsed/>
    <w:rsid w:val="00843C3C"/>
    <w:rPr>
      <w:vertAlign w:val="superscript"/>
    </w:rPr>
  </w:style>
  <w:style w:type="paragraph" w:styleId="Header">
    <w:name w:val="header"/>
    <w:basedOn w:val="Normal"/>
    <w:link w:val="HeaderChar"/>
    <w:uiPriority w:val="99"/>
    <w:unhideWhenUsed/>
    <w:rsid w:val="00BF1DFA"/>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BF1DFA"/>
    <w:rPr>
      <w:rFonts w:cs="Mangal"/>
    </w:rPr>
  </w:style>
  <w:style w:type="paragraph" w:styleId="Footer">
    <w:name w:val="footer"/>
    <w:basedOn w:val="Normal"/>
    <w:link w:val="FooterChar"/>
    <w:uiPriority w:val="99"/>
    <w:unhideWhenUsed/>
    <w:rsid w:val="00BF1DFA"/>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BF1DF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A4AE0DFDB34D911863FD5B2382DF" ma:contentTypeVersion="15" ma:contentTypeDescription="Create a new document." ma:contentTypeScope="" ma:versionID="f80df4a1d3c54121882fccc9a37578cd">
  <xsd:schema xmlns:xsd="http://www.w3.org/2001/XMLSchema" xmlns:xs="http://www.w3.org/2001/XMLSchema" xmlns:p="http://schemas.microsoft.com/office/2006/metadata/properties" xmlns:ns1="http://schemas.microsoft.com/sharepoint/v3" xmlns:ns3="6501830b-c656-4b43-8aea-e1ddcb7cd211" xmlns:ns4="b361a941-595b-4c9d-8bcb-526c7183c810" targetNamespace="http://schemas.microsoft.com/office/2006/metadata/properties" ma:root="true" ma:fieldsID="6218cf35fa4bfcd3e17fb1dda39a7778" ns1:_="" ns3:_="" ns4:_="">
    <xsd:import namespace="http://schemas.microsoft.com/sharepoint/v3"/>
    <xsd:import namespace="6501830b-c656-4b43-8aea-e1ddcb7cd211"/>
    <xsd:import namespace="b361a941-595b-4c9d-8bcb-526c7183c8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01830b-c656-4b43-8aea-e1ddcb7cd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61a941-595b-4c9d-8bcb-526c7183c8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BE028-3DFF-4571-8B66-173406F35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01830b-c656-4b43-8aea-e1ddcb7cd211"/>
    <ds:schemaRef ds:uri="b361a941-595b-4c9d-8bcb-526c7183c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E17CC-95BF-4145-A643-64D9C9DBDD3E}">
  <ds:schemaRefs>
    <ds:schemaRef ds:uri="http://schemas.microsoft.com/sharepoint/v3/contenttype/forms"/>
  </ds:schemaRefs>
</ds:datastoreItem>
</file>

<file path=customXml/itemProps3.xml><?xml version="1.0" encoding="utf-8"?>
<ds:datastoreItem xmlns:ds="http://schemas.openxmlformats.org/officeDocument/2006/customXml" ds:itemID="{CAF7BADA-B3C1-4D10-B0ED-B6082137D76E}">
  <ds:schemaRefs>
    <ds:schemaRef ds:uri="http://purl.org/dc/terms/"/>
    <ds:schemaRef ds:uri="http://schemas.openxmlformats.org/package/2006/metadata/core-properties"/>
    <ds:schemaRef ds:uri="http://www.w3.org/XML/1998/namespace"/>
    <ds:schemaRef ds:uri="http://schemas.microsoft.com/sharepoint/v3"/>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b361a941-595b-4c9d-8bcb-526c7183c810"/>
    <ds:schemaRef ds:uri="6501830b-c656-4b43-8aea-e1ddcb7cd211"/>
  </ds:schemaRefs>
</ds:datastoreItem>
</file>

<file path=customXml/itemProps4.xml><?xml version="1.0" encoding="utf-8"?>
<ds:datastoreItem xmlns:ds="http://schemas.openxmlformats.org/officeDocument/2006/customXml" ds:itemID="{34012C7C-A40A-4A82-8706-C74F0EBD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5222</Characters>
  <Application>Microsoft Office Word</Application>
  <DocSecurity>4</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Allianz</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Czaja, Dr. Marc-Gregor (AIM SE)</dc:creator>
  <cp:keywords/>
  <dc:description/>
  <cp:lastModifiedBy>Elke Pfeiffer</cp:lastModifiedBy>
  <cp:revision>2</cp:revision>
  <dcterms:created xsi:type="dcterms:W3CDTF">2021-06-15T07:13:00Z</dcterms:created>
  <dcterms:modified xsi:type="dcterms:W3CDTF">2021-06-15T07:13:00Z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3bc15e-e7bf-41c1-bdb3-03882d8a2e2c_Enabled">
    <vt:lpwstr>true</vt:lpwstr>
  </property>
  <property fmtid="{D5CDD505-2E9C-101B-9397-08002B2CF9AE}" pid="3" name="MSIP_Label_863bc15e-e7bf-41c1-bdb3-03882d8a2e2c_SetDate">
    <vt:lpwstr>2021-06-14T09:20:24Z</vt:lpwstr>
  </property>
  <property fmtid="{D5CDD505-2E9C-101B-9397-08002B2CF9AE}" pid="4" name="MSIP_Label_863bc15e-e7bf-41c1-bdb3-03882d8a2e2c_Method">
    <vt:lpwstr>Privileged</vt:lpwstr>
  </property>
  <property fmtid="{D5CDD505-2E9C-101B-9397-08002B2CF9AE}" pid="5" name="MSIP_Label_863bc15e-e7bf-41c1-bdb3-03882d8a2e2c_Name">
    <vt:lpwstr>863bc15e-e7bf-41c1-bdb3-03882d8a2e2c</vt:lpwstr>
  </property>
  <property fmtid="{D5CDD505-2E9C-101B-9397-08002B2CF9AE}" pid="6" name="MSIP_Label_863bc15e-e7bf-41c1-bdb3-03882d8a2e2c_SiteId">
    <vt:lpwstr>6e06e42d-6925-47c6-b9e7-9581c7ca302a</vt:lpwstr>
  </property>
  <property fmtid="{D5CDD505-2E9C-101B-9397-08002B2CF9AE}" pid="7" name="MSIP_Label_863bc15e-e7bf-41c1-bdb3-03882d8a2e2c_ActionId">
    <vt:lpwstr>a5bdeadb-4c05-4e52-b599-9d29fb2d0636</vt:lpwstr>
  </property>
  <property fmtid="{D5CDD505-2E9C-101B-9397-08002B2CF9AE}" pid="8" name="MSIP_Label_863bc15e-e7bf-41c1-bdb3-03882d8a2e2c_ContentBits">
    <vt:lpwstr>1</vt:lpwstr>
  </property>
  <property fmtid="{D5CDD505-2E9C-101B-9397-08002B2CF9AE}" pid="9" name="ContentTypeId">
    <vt:lpwstr>0x0101009CF9A4AE0DFDB34D911863FD5B2382DF</vt:lpwstr>
  </property>
</Properties>
</file>