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771"/>
      </w:tblGrid>
      <w:tr w:rsidR="00E85F32" w14:paraId="0C77BE71" w14:textId="77777777" w:rsidTr="00E85F32">
        <w:tc>
          <w:tcPr>
            <w:tcW w:w="9771" w:type="dxa"/>
          </w:tcPr>
          <w:p w14:paraId="386941E0" w14:textId="77777777" w:rsidR="00E85F32" w:rsidRDefault="00E85F32" w:rsidP="00E85F32">
            <w:pPr>
              <w:spacing w:after="160" w:line="259" w:lineRule="auto"/>
              <w:ind w:left="-116" w:right="-118"/>
              <w:rPr>
                <w:rFonts w:asciiTheme="majorHAnsi" w:eastAsia="Calibri" w:hAnsiTheme="majorHAnsi" w:cstheme="majorHAnsi"/>
                <w:b/>
                <w:color w:val="00B0F0"/>
                <w:sz w:val="28"/>
                <w:szCs w:val="28"/>
                <w:lang w:val="en-US"/>
              </w:rPr>
            </w:pPr>
            <w:r w:rsidRPr="00283EAE">
              <w:rPr>
                <w:b/>
                <w:bCs/>
                <w:noProof/>
              </w:rPr>
              <w:drawing>
                <wp:inline distT="0" distB="0" distL="0" distR="0" wp14:anchorId="3ED2A0A5" wp14:editId="7524237D">
                  <wp:extent cx="6564809" cy="1578078"/>
                  <wp:effectExtent l="0" t="0" r="1270" b="0"/>
                  <wp:docPr id="93105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8509" name=""/>
                          <pic:cNvPicPr/>
                        </pic:nvPicPr>
                        <pic:blipFill>
                          <a:blip r:embed="rId11"/>
                          <a:stretch>
                            <a:fillRect/>
                          </a:stretch>
                        </pic:blipFill>
                        <pic:spPr>
                          <a:xfrm>
                            <a:off x="0" y="0"/>
                            <a:ext cx="6611799" cy="1589374"/>
                          </a:xfrm>
                          <a:prstGeom prst="rect">
                            <a:avLst/>
                          </a:prstGeom>
                        </pic:spPr>
                      </pic:pic>
                    </a:graphicData>
                  </a:graphic>
                </wp:inline>
              </w:drawing>
            </w:r>
          </w:p>
          <w:p w14:paraId="5C838284" w14:textId="77777777" w:rsidR="00E85F32" w:rsidRDefault="00E85F32">
            <w:pPr>
              <w:spacing w:after="160" w:line="259" w:lineRule="auto"/>
              <w:rPr>
                <w:rFonts w:asciiTheme="majorHAnsi" w:eastAsia="Calibri" w:hAnsiTheme="majorHAnsi" w:cstheme="majorHAnsi"/>
                <w:b/>
                <w:color w:val="00B0F0"/>
                <w:sz w:val="28"/>
                <w:szCs w:val="28"/>
                <w:lang w:val="en-US"/>
              </w:rPr>
            </w:pPr>
          </w:p>
          <w:p w14:paraId="43DEBFB0" w14:textId="06727444" w:rsidR="00E85F32" w:rsidRPr="00E85F32" w:rsidRDefault="00E85F32" w:rsidP="00E85F32">
            <w:pPr>
              <w:spacing w:after="160" w:line="259" w:lineRule="auto"/>
              <w:jc w:val="center"/>
              <w:rPr>
                <w:rFonts w:asciiTheme="majorHAnsi" w:eastAsia="Calibri" w:hAnsiTheme="majorHAnsi" w:cstheme="majorHAnsi"/>
                <w:b/>
                <w:color w:val="00B0F0"/>
                <w:sz w:val="28"/>
                <w:szCs w:val="28"/>
                <w:lang w:val="en-US"/>
              </w:rPr>
            </w:pPr>
            <w:r w:rsidRPr="00E85F32">
              <w:rPr>
                <w:rFonts w:asciiTheme="majorHAnsi" w:eastAsia="Calibri" w:hAnsiTheme="majorHAnsi" w:cstheme="majorHAnsi"/>
                <w:b/>
                <w:color w:val="00B0F0"/>
                <w:sz w:val="28"/>
                <w:szCs w:val="28"/>
                <w:lang w:val="en-US"/>
              </w:rPr>
              <w:t xml:space="preserve">Concept Note – Advancing Nature-Related Risk and Opportunity Assessments </w:t>
            </w:r>
            <w:r>
              <w:rPr>
                <w:rFonts w:asciiTheme="majorHAnsi" w:eastAsia="Calibri" w:hAnsiTheme="majorHAnsi" w:cstheme="majorHAnsi"/>
                <w:b/>
                <w:color w:val="00B0F0"/>
                <w:sz w:val="28"/>
                <w:szCs w:val="28"/>
                <w:lang w:val="en-US"/>
              </w:rPr>
              <w:br/>
            </w:r>
            <w:r w:rsidRPr="00E85F32">
              <w:rPr>
                <w:rFonts w:asciiTheme="majorHAnsi" w:eastAsia="Calibri" w:hAnsiTheme="majorHAnsi" w:cstheme="majorHAnsi"/>
                <w:b/>
                <w:color w:val="00B0F0"/>
                <w:sz w:val="28"/>
                <w:szCs w:val="28"/>
                <w:lang w:val="en-US"/>
              </w:rPr>
              <w:t>for Non-Life Insurance Underwriting Portfolios</w:t>
            </w:r>
          </w:p>
          <w:p w14:paraId="06156F02" w14:textId="77777777" w:rsidR="00E85F32" w:rsidRPr="00E85F32" w:rsidRDefault="00E85F32" w:rsidP="00E85F32">
            <w:pPr>
              <w:spacing w:after="160" w:line="259" w:lineRule="auto"/>
              <w:rPr>
                <w:rFonts w:asciiTheme="majorHAnsi" w:eastAsia="Calibri" w:hAnsiTheme="majorHAnsi" w:cstheme="majorHAnsi"/>
                <w:b/>
                <w:color w:val="00B0F0"/>
                <w:sz w:val="28"/>
                <w:szCs w:val="28"/>
                <w:lang w:val="en-US"/>
              </w:rPr>
            </w:pPr>
          </w:p>
          <w:p w14:paraId="7F504A5B" w14:textId="77777777" w:rsidR="00E85F32" w:rsidRPr="00E85F32" w:rsidRDefault="00E85F32" w:rsidP="00E85F32">
            <w:pPr>
              <w:spacing w:after="160" w:line="259" w:lineRule="auto"/>
              <w:jc w:val="center"/>
              <w:rPr>
                <w:rFonts w:asciiTheme="majorHAnsi" w:eastAsia="Calibri" w:hAnsiTheme="majorHAnsi" w:cstheme="majorHAnsi"/>
                <w:b/>
                <w:color w:val="000000" w:themeColor="text1"/>
                <w:sz w:val="28"/>
                <w:szCs w:val="28"/>
                <w:lang w:val="en-US"/>
              </w:rPr>
            </w:pPr>
            <w:r w:rsidRPr="00E85F32">
              <w:rPr>
                <w:rFonts w:asciiTheme="majorHAnsi" w:eastAsia="Calibri" w:hAnsiTheme="majorHAnsi" w:cstheme="majorHAnsi"/>
                <w:b/>
                <w:color w:val="000000" w:themeColor="text1"/>
                <w:sz w:val="28"/>
                <w:szCs w:val="28"/>
                <w:lang w:val="en-US"/>
              </w:rPr>
              <w:t>Core Thematic Group (CTG)</w:t>
            </w:r>
          </w:p>
          <w:p w14:paraId="34BEE29C" w14:textId="77777777" w:rsidR="00E85F32" w:rsidRPr="00E85F32" w:rsidRDefault="00E85F32" w:rsidP="00E85F32">
            <w:pPr>
              <w:spacing w:after="160" w:line="259" w:lineRule="auto"/>
              <w:rPr>
                <w:rFonts w:asciiTheme="majorHAnsi" w:eastAsia="Calibri" w:hAnsiTheme="majorHAnsi" w:cstheme="majorHAnsi"/>
                <w:b/>
                <w:color w:val="000000" w:themeColor="text1"/>
                <w:sz w:val="28"/>
                <w:szCs w:val="28"/>
                <w:lang w:val="en-US"/>
              </w:rPr>
            </w:pPr>
          </w:p>
          <w:p w14:paraId="4CB8D619" w14:textId="3B6B6E30" w:rsidR="00E85F32" w:rsidRDefault="00E85F32" w:rsidP="00E85F32">
            <w:pPr>
              <w:spacing w:after="160" w:line="259" w:lineRule="auto"/>
              <w:jc w:val="center"/>
              <w:rPr>
                <w:rFonts w:asciiTheme="majorHAnsi" w:eastAsia="Calibri" w:hAnsiTheme="majorHAnsi" w:cstheme="majorHAnsi"/>
                <w:b/>
                <w:color w:val="000000" w:themeColor="text1"/>
                <w:sz w:val="28"/>
                <w:szCs w:val="28"/>
                <w:lang w:val="en-US"/>
              </w:rPr>
            </w:pPr>
            <w:r w:rsidRPr="00E85F32">
              <w:rPr>
                <w:rFonts w:asciiTheme="majorHAnsi" w:eastAsia="Calibri" w:hAnsiTheme="majorHAnsi" w:cstheme="majorHAnsi"/>
                <w:b/>
                <w:color w:val="000000" w:themeColor="text1"/>
                <w:sz w:val="28"/>
                <w:szCs w:val="28"/>
                <w:lang w:val="en-US"/>
              </w:rPr>
              <w:t xml:space="preserve">Draft Version: </w:t>
            </w:r>
            <w:r w:rsidR="00A84BA8">
              <w:rPr>
                <w:rFonts w:asciiTheme="majorHAnsi" w:eastAsia="Calibri" w:hAnsiTheme="majorHAnsi" w:cstheme="majorHAnsi"/>
                <w:b/>
                <w:color w:val="000000" w:themeColor="text1"/>
                <w:sz w:val="28"/>
                <w:szCs w:val="28"/>
                <w:lang w:val="en-US"/>
              </w:rPr>
              <w:t>1.0</w:t>
            </w:r>
          </w:p>
          <w:p w14:paraId="66DC612A" w14:textId="14BB18E4" w:rsidR="00E85F32" w:rsidRPr="00E85F32" w:rsidRDefault="00E85F32" w:rsidP="00E85F32">
            <w:pPr>
              <w:spacing w:after="160" w:line="259" w:lineRule="auto"/>
              <w:jc w:val="center"/>
              <w:rPr>
                <w:rFonts w:asciiTheme="majorHAnsi" w:eastAsia="Calibri" w:hAnsiTheme="majorHAnsi" w:cstheme="majorHAnsi"/>
                <w:b/>
                <w:color w:val="000000" w:themeColor="text1"/>
                <w:sz w:val="28"/>
                <w:szCs w:val="28"/>
                <w:lang w:val="en-US"/>
              </w:rPr>
            </w:pPr>
            <w:r w:rsidRPr="00E85F32">
              <w:rPr>
                <w:rFonts w:asciiTheme="majorHAnsi" w:eastAsia="Calibri" w:hAnsiTheme="majorHAnsi" w:cstheme="majorHAnsi"/>
                <w:b/>
                <w:color w:val="000000" w:themeColor="text1"/>
                <w:sz w:val="28"/>
                <w:szCs w:val="28"/>
                <w:lang w:val="en-US"/>
              </w:rPr>
              <w:t xml:space="preserve">Date: </w:t>
            </w:r>
            <w:r w:rsidR="004B41B1">
              <w:rPr>
                <w:rFonts w:asciiTheme="majorHAnsi" w:eastAsia="Calibri" w:hAnsiTheme="majorHAnsi" w:cstheme="majorHAnsi"/>
                <w:b/>
                <w:color w:val="000000" w:themeColor="text1"/>
                <w:sz w:val="28"/>
                <w:szCs w:val="28"/>
                <w:lang w:val="en-US"/>
              </w:rPr>
              <w:t>24</w:t>
            </w:r>
            <w:r w:rsidRPr="00E85F32">
              <w:rPr>
                <w:rFonts w:asciiTheme="majorHAnsi" w:eastAsia="Calibri" w:hAnsiTheme="majorHAnsi" w:cstheme="majorHAnsi"/>
                <w:b/>
                <w:color w:val="000000" w:themeColor="text1"/>
                <w:sz w:val="28"/>
                <w:szCs w:val="28"/>
                <w:lang w:val="en-US"/>
              </w:rPr>
              <w:t xml:space="preserve"> November 2025</w:t>
            </w:r>
          </w:p>
          <w:p w14:paraId="69FA57BE" w14:textId="77777777" w:rsidR="00E85F32" w:rsidRDefault="00E85F32" w:rsidP="00E85F32">
            <w:pPr>
              <w:spacing w:after="160" w:line="259" w:lineRule="auto"/>
              <w:rPr>
                <w:rFonts w:asciiTheme="majorHAnsi" w:eastAsia="Calibri" w:hAnsiTheme="majorHAnsi" w:cstheme="majorHAnsi"/>
                <w:b/>
                <w:color w:val="000000" w:themeColor="text1"/>
                <w:lang w:val="en-US"/>
              </w:rPr>
            </w:pPr>
          </w:p>
          <w:p w14:paraId="6256760D" w14:textId="77777777" w:rsidR="00E85F32" w:rsidRDefault="00E85F32" w:rsidP="00E85F32">
            <w:pPr>
              <w:spacing w:after="160" w:line="259" w:lineRule="auto"/>
              <w:rPr>
                <w:rFonts w:asciiTheme="majorHAnsi" w:eastAsia="Calibri" w:hAnsiTheme="majorHAnsi" w:cstheme="majorHAnsi"/>
                <w:b/>
                <w:color w:val="000000" w:themeColor="text1"/>
                <w:lang w:val="en-US"/>
              </w:rPr>
            </w:pPr>
          </w:p>
          <w:p w14:paraId="339DA0C5" w14:textId="77777777" w:rsidR="004B41B1" w:rsidRDefault="004B41B1" w:rsidP="00E85F32">
            <w:pPr>
              <w:spacing w:after="160" w:line="259" w:lineRule="auto"/>
              <w:rPr>
                <w:rFonts w:asciiTheme="majorHAnsi" w:eastAsia="Calibri" w:hAnsiTheme="majorHAnsi" w:cstheme="majorHAnsi"/>
                <w:b/>
                <w:color w:val="000000" w:themeColor="text1"/>
                <w:lang w:val="en-US"/>
              </w:rPr>
            </w:pPr>
          </w:p>
          <w:p w14:paraId="41010170" w14:textId="77777777" w:rsidR="004B41B1" w:rsidRPr="00E85F32" w:rsidRDefault="004B41B1" w:rsidP="00E85F32">
            <w:pPr>
              <w:spacing w:after="160" w:line="259" w:lineRule="auto"/>
              <w:rPr>
                <w:rFonts w:asciiTheme="majorHAnsi" w:eastAsia="Calibri" w:hAnsiTheme="majorHAnsi" w:cstheme="majorHAnsi"/>
                <w:b/>
                <w:color w:val="000000" w:themeColor="text1"/>
                <w:sz w:val="28"/>
                <w:szCs w:val="28"/>
                <w:lang w:val="en-US"/>
              </w:rPr>
            </w:pPr>
          </w:p>
          <w:p w14:paraId="14AEAEE2" w14:textId="78AB51B7" w:rsidR="00E85F32" w:rsidRDefault="00E85F32" w:rsidP="00E85F32">
            <w:pPr>
              <w:spacing w:after="160" w:line="259" w:lineRule="auto"/>
              <w:jc w:val="center"/>
              <w:rPr>
                <w:rFonts w:asciiTheme="majorHAnsi" w:eastAsia="Calibri" w:hAnsiTheme="majorHAnsi" w:cstheme="majorHAnsi"/>
                <w:b/>
                <w:color w:val="00B0F0"/>
                <w:sz w:val="28"/>
                <w:szCs w:val="28"/>
                <w:lang w:val="en-US"/>
              </w:rPr>
            </w:pPr>
            <w:r w:rsidRPr="00FD2C2C">
              <w:rPr>
                <w:rFonts w:asciiTheme="majorHAnsi" w:hAnsiTheme="majorHAnsi" w:cstheme="majorHAnsi"/>
                <w:noProof/>
                <w:lang w:val="en-GB"/>
              </w:rPr>
              <w:drawing>
                <wp:inline distT="0" distB="0" distL="0" distR="0" wp14:anchorId="0C551B7E" wp14:editId="3DDBBD9C">
                  <wp:extent cx="5022634" cy="2271252"/>
                  <wp:effectExtent l="0" t="0" r="0" b="2540"/>
                  <wp:docPr id="34469095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55046" name="Picture 1" descr="A close-up of a document&#10;&#10;Description automatically generated"/>
                          <pic:cNvPicPr/>
                        </pic:nvPicPr>
                        <pic:blipFill>
                          <a:blip r:embed="rId12"/>
                          <a:stretch>
                            <a:fillRect/>
                          </a:stretch>
                        </pic:blipFill>
                        <pic:spPr>
                          <a:xfrm>
                            <a:off x="0" y="0"/>
                            <a:ext cx="5087205" cy="2300451"/>
                          </a:xfrm>
                          <a:prstGeom prst="rect">
                            <a:avLst/>
                          </a:prstGeom>
                        </pic:spPr>
                      </pic:pic>
                    </a:graphicData>
                  </a:graphic>
                </wp:inline>
              </w:drawing>
            </w:r>
          </w:p>
        </w:tc>
      </w:tr>
    </w:tbl>
    <w:p w14:paraId="1E1DF8C1" w14:textId="77777777" w:rsidR="00D15166" w:rsidRDefault="00D15166" w:rsidP="004B41B1">
      <w:pPr>
        <w:spacing w:after="160" w:line="259" w:lineRule="auto"/>
        <w:jc w:val="both"/>
        <w:rPr>
          <w:rFonts w:asciiTheme="majorHAnsi" w:eastAsia="Calibri" w:hAnsiTheme="majorHAnsi" w:cstheme="majorHAnsi"/>
          <w:b/>
          <w:color w:val="00B0F0"/>
          <w:sz w:val="28"/>
          <w:szCs w:val="28"/>
          <w:lang w:val="en-US"/>
        </w:rPr>
      </w:pPr>
    </w:p>
    <w:tbl>
      <w:tblPr>
        <w:tblStyle w:val="TableGrid"/>
        <w:tblW w:w="0" w:type="auto"/>
        <w:tblLook w:val="04A0" w:firstRow="1" w:lastRow="0" w:firstColumn="1" w:lastColumn="0" w:noHBand="0" w:noVBand="1"/>
      </w:tblPr>
      <w:tblGrid>
        <w:gridCol w:w="9771"/>
      </w:tblGrid>
      <w:tr w:rsidR="00D15166" w14:paraId="595138BC" w14:textId="77777777" w:rsidTr="00D15166">
        <w:tc>
          <w:tcPr>
            <w:tcW w:w="9771" w:type="dxa"/>
          </w:tcPr>
          <w:p w14:paraId="3CF2815E" w14:textId="528A3BDF" w:rsidR="00D15166" w:rsidRPr="00D15166" w:rsidRDefault="00D15166" w:rsidP="00D15166">
            <w:pPr>
              <w:spacing w:after="160" w:line="259" w:lineRule="auto"/>
              <w:jc w:val="both"/>
              <w:rPr>
                <w:rFonts w:asciiTheme="majorHAnsi" w:eastAsia="Calibri" w:hAnsiTheme="majorHAnsi" w:cstheme="majorHAnsi"/>
                <w:b/>
                <w:color w:val="00B0F0"/>
                <w:sz w:val="28"/>
                <w:szCs w:val="28"/>
                <w:lang w:val="en-US"/>
              </w:rPr>
            </w:pPr>
            <w:r w:rsidRPr="00D15166">
              <w:rPr>
                <w:rFonts w:asciiTheme="majorHAnsi" w:eastAsia="Calibri" w:hAnsiTheme="majorHAnsi" w:cstheme="majorHAnsi"/>
                <w:b/>
                <w:color w:val="00B0F0"/>
                <w:sz w:val="28"/>
                <w:szCs w:val="28"/>
                <w:lang w:val="en-US"/>
              </w:rPr>
              <w:t xml:space="preserve">Purpose of </w:t>
            </w:r>
            <w:r>
              <w:rPr>
                <w:rFonts w:asciiTheme="majorHAnsi" w:eastAsia="Calibri" w:hAnsiTheme="majorHAnsi" w:cstheme="majorHAnsi"/>
                <w:b/>
                <w:color w:val="00B0F0"/>
                <w:sz w:val="28"/>
                <w:szCs w:val="28"/>
                <w:lang w:val="en-US"/>
              </w:rPr>
              <w:t>this</w:t>
            </w:r>
            <w:r w:rsidRPr="00D15166">
              <w:rPr>
                <w:rFonts w:asciiTheme="majorHAnsi" w:eastAsia="Calibri" w:hAnsiTheme="majorHAnsi" w:cstheme="majorHAnsi"/>
                <w:b/>
                <w:color w:val="00B0F0"/>
                <w:sz w:val="28"/>
                <w:szCs w:val="28"/>
                <w:lang w:val="en-US"/>
              </w:rPr>
              <w:t xml:space="preserve"> document:</w:t>
            </w:r>
          </w:p>
          <w:p w14:paraId="3E59C485" w14:textId="77777777" w:rsidR="00D15166" w:rsidRPr="004B41B1" w:rsidRDefault="00D15166" w:rsidP="00D15166">
            <w:pPr>
              <w:spacing w:after="160" w:line="259" w:lineRule="auto"/>
              <w:jc w:val="both"/>
              <w:rPr>
                <w:rFonts w:asciiTheme="majorHAnsi" w:eastAsia="Calibri" w:hAnsiTheme="majorHAnsi" w:cstheme="majorHAnsi"/>
                <w:b/>
                <w:color w:val="00B0F0"/>
                <w:lang w:val="en-US"/>
              </w:rPr>
            </w:pPr>
            <w:r w:rsidRPr="004B41B1">
              <w:rPr>
                <w:rFonts w:asciiTheme="majorHAnsi" w:eastAsia="Calibri" w:hAnsiTheme="majorHAnsi" w:cstheme="majorHAnsi"/>
                <w:b/>
                <w:color w:val="00B0F0"/>
                <w:lang w:val="en-US"/>
              </w:rPr>
              <w:t>This document serves as the working reference for the Core Thematic Group’s project on Advancing Nature-Related Risk and Opportunity Assessments.</w:t>
            </w:r>
          </w:p>
          <w:p w14:paraId="14D50633" w14:textId="77777777" w:rsidR="00D15166" w:rsidRPr="004B41B1" w:rsidRDefault="00D15166" w:rsidP="00D15166">
            <w:pPr>
              <w:spacing w:after="160" w:line="259" w:lineRule="auto"/>
              <w:jc w:val="both"/>
              <w:rPr>
                <w:rFonts w:asciiTheme="majorHAnsi" w:eastAsia="Calibri" w:hAnsiTheme="majorHAnsi" w:cstheme="majorHAnsi"/>
                <w:b/>
                <w:color w:val="00B0F0"/>
                <w:lang w:val="en-US"/>
              </w:rPr>
            </w:pPr>
            <w:r w:rsidRPr="004B41B1">
              <w:rPr>
                <w:rFonts w:asciiTheme="majorHAnsi" w:eastAsia="Calibri" w:hAnsiTheme="majorHAnsi" w:cstheme="majorHAnsi"/>
                <w:b/>
                <w:color w:val="00B0F0"/>
                <w:lang w:val="en-US"/>
              </w:rPr>
              <w:t>Chapters 1–3 outline the intended scope and approach of the project, including what will be delivered and how. These elements will be confirmed and, where required, refined based on agreement with the Working Group by Session 2.</w:t>
            </w:r>
          </w:p>
          <w:p w14:paraId="232B9072" w14:textId="1A09D108" w:rsidR="00D15166" w:rsidRPr="00D15166" w:rsidRDefault="00D15166" w:rsidP="004B41B1">
            <w:pPr>
              <w:spacing w:after="160" w:line="259" w:lineRule="auto"/>
              <w:jc w:val="both"/>
              <w:rPr>
                <w:rFonts w:asciiTheme="majorHAnsi" w:eastAsia="Calibri" w:hAnsiTheme="majorHAnsi" w:cstheme="majorHAnsi"/>
                <w:b/>
                <w:color w:val="00B0F0"/>
                <w:lang w:val="en-US"/>
              </w:rPr>
            </w:pPr>
            <w:r w:rsidRPr="004B41B1">
              <w:rPr>
                <w:rFonts w:asciiTheme="majorHAnsi" w:eastAsia="Calibri" w:hAnsiTheme="majorHAnsi" w:cstheme="majorHAnsi"/>
                <w:b/>
                <w:color w:val="00B0F0"/>
                <w:lang w:val="en-US"/>
              </w:rPr>
              <w:t xml:space="preserve">Chapter 4 (Annex) provides the developing working methodology to be applied within the group. This section will be iteratively refined throughout the project, with updates incorporated following each </w:t>
            </w:r>
            <w:r>
              <w:rPr>
                <w:rFonts w:asciiTheme="majorHAnsi" w:eastAsia="Calibri" w:hAnsiTheme="majorHAnsi" w:cstheme="majorHAnsi"/>
                <w:b/>
                <w:color w:val="00B0F0"/>
                <w:lang w:val="en-US"/>
              </w:rPr>
              <w:t>Core Thematic Group</w:t>
            </w:r>
            <w:r w:rsidRPr="004B41B1">
              <w:rPr>
                <w:rFonts w:asciiTheme="majorHAnsi" w:eastAsia="Calibri" w:hAnsiTheme="majorHAnsi" w:cstheme="majorHAnsi"/>
                <w:b/>
                <w:color w:val="00B0F0"/>
                <w:lang w:val="en-US"/>
              </w:rPr>
              <w:t xml:space="preserve"> meeting and review period</w:t>
            </w:r>
            <w:r>
              <w:rPr>
                <w:rFonts w:asciiTheme="majorHAnsi" w:eastAsia="Calibri" w:hAnsiTheme="majorHAnsi" w:cstheme="majorHAnsi"/>
                <w:b/>
                <w:color w:val="00B0F0"/>
                <w:lang w:val="en-US"/>
              </w:rPr>
              <w:t>.</w:t>
            </w:r>
          </w:p>
        </w:tc>
      </w:tr>
    </w:tbl>
    <w:p w14:paraId="7786EA7A" w14:textId="77777777" w:rsidR="00D15166" w:rsidRDefault="00D15166" w:rsidP="004B41B1">
      <w:pPr>
        <w:spacing w:after="160" w:line="259" w:lineRule="auto"/>
        <w:jc w:val="both"/>
        <w:rPr>
          <w:rFonts w:asciiTheme="majorHAnsi" w:eastAsia="Calibri" w:hAnsiTheme="majorHAnsi" w:cstheme="majorHAnsi"/>
          <w:b/>
          <w:color w:val="00B0F0"/>
          <w:sz w:val="28"/>
          <w:szCs w:val="28"/>
          <w:lang w:val="en-US"/>
        </w:rPr>
      </w:pPr>
    </w:p>
    <w:p w14:paraId="11755672" w14:textId="77777777" w:rsidR="004B41B1" w:rsidRDefault="004B41B1">
      <w:pPr>
        <w:spacing w:after="160" w:line="259" w:lineRule="auto"/>
        <w:rPr>
          <w:rFonts w:asciiTheme="majorHAnsi" w:eastAsia="Calibri" w:hAnsiTheme="majorHAnsi" w:cstheme="majorHAnsi"/>
          <w:b/>
          <w:color w:val="00B0F0"/>
          <w:sz w:val="28"/>
          <w:szCs w:val="28"/>
          <w:lang w:val="en-US"/>
        </w:rPr>
      </w:pPr>
      <w:r>
        <w:rPr>
          <w:rFonts w:asciiTheme="majorHAnsi" w:eastAsia="Calibri" w:hAnsiTheme="majorHAnsi" w:cstheme="majorHAnsi"/>
          <w:b/>
          <w:color w:val="00B0F0"/>
          <w:sz w:val="28"/>
          <w:szCs w:val="28"/>
          <w:lang w:val="en-US"/>
        </w:rPr>
        <w:br w:type="page"/>
      </w:r>
    </w:p>
    <w:p w14:paraId="63EACF29" w14:textId="38E38E45" w:rsidR="00F93703" w:rsidRPr="008F2580" w:rsidRDefault="00F93703" w:rsidP="00F93703">
      <w:pPr>
        <w:spacing w:after="160" w:line="259" w:lineRule="auto"/>
        <w:rPr>
          <w:rFonts w:asciiTheme="majorHAnsi" w:eastAsia="Calibri" w:hAnsiTheme="majorHAnsi" w:cstheme="majorHAnsi"/>
          <w:b/>
          <w:color w:val="00B0F0"/>
          <w:sz w:val="28"/>
          <w:szCs w:val="28"/>
          <w:lang w:val="en-US"/>
        </w:rPr>
      </w:pPr>
      <w:r w:rsidRPr="008F2580">
        <w:rPr>
          <w:rFonts w:asciiTheme="majorHAnsi" w:eastAsia="Calibri" w:hAnsiTheme="majorHAnsi" w:cstheme="majorHAnsi"/>
          <w:b/>
          <w:color w:val="00B0F0"/>
          <w:sz w:val="28"/>
          <w:szCs w:val="28"/>
          <w:lang w:val="en-US"/>
        </w:rPr>
        <w:lastRenderedPageBreak/>
        <w:t>Contents</w:t>
      </w:r>
    </w:p>
    <w:p w14:paraId="18517A4E" w14:textId="33EA3BA6" w:rsidR="00D15166" w:rsidRDefault="00F93703">
      <w:pPr>
        <w:pStyle w:val="TOC1"/>
        <w:rPr>
          <w:rFonts w:eastAsiaTheme="minorEastAsia" w:cstheme="minorBidi"/>
          <w:b w:val="0"/>
          <w:bCs w:val="0"/>
          <w:i w:val="0"/>
          <w:iCs w:val="0"/>
          <w:noProof/>
          <w:kern w:val="2"/>
          <w:lang w:val="en-AU"/>
          <w14:ligatures w14:val="standardContextual"/>
        </w:rPr>
      </w:pPr>
      <w:r w:rsidRPr="008F2580">
        <w:rPr>
          <w:rFonts w:asciiTheme="majorHAnsi" w:hAnsiTheme="majorHAnsi" w:cstheme="majorHAnsi"/>
          <w:b w:val="0"/>
          <w:bCs w:val="0"/>
          <w:lang w:val="en-US"/>
        </w:rPr>
        <w:fldChar w:fldCharType="begin"/>
      </w:r>
      <w:r w:rsidRPr="008F2580">
        <w:rPr>
          <w:rFonts w:asciiTheme="majorHAnsi" w:hAnsiTheme="majorHAnsi" w:cstheme="majorHAnsi"/>
          <w:b w:val="0"/>
          <w:bCs w:val="0"/>
          <w:lang w:val="en-US"/>
        </w:rPr>
        <w:instrText xml:space="preserve"> TOC \o "1-3" \h \z \u </w:instrText>
      </w:r>
      <w:r w:rsidRPr="008F2580">
        <w:rPr>
          <w:rFonts w:asciiTheme="majorHAnsi" w:hAnsiTheme="majorHAnsi" w:cstheme="majorHAnsi"/>
          <w:b w:val="0"/>
          <w:bCs w:val="0"/>
          <w:lang w:val="en-US"/>
        </w:rPr>
        <w:fldChar w:fldCharType="separate"/>
      </w:r>
      <w:hyperlink w:anchor="_Toc214867623" w:history="1">
        <w:r w:rsidR="00D15166" w:rsidRPr="00C676A4">
          <w:rPr>
            <w:rStyle w:val="Hyperlink"/>
            <w:rFonts w:cstheme="majorHAnsi"/>
            <w:noProof/>
            <w:lang w:val="en-US" w:bidi="he-IL"/>
          </w:rPr>
          <w:t>1</w:t>
        </w:r>
        <w:r w:rsidR="00D15166">
          <w:rPr>
            <w:rFonts w:eastAsiaTheme="minorEastAsia" w:cstheme="minorBidi"/>
            <w:b w:val="0"/>
            <w:bCs w:val="0"/>
            <w:i w:val="0"/>
            <w:iCs w:val="0"/>
            <w:noProof/>
            <w:kern w:val="2"/>
            <w:lang w:val="en-AU"/>
            <w14:ligatures w14:val="standardContextual"/>
          </w:rPr>
          <w:tab/>
        </w:r>
        <w:r w:rsidR="00D15166" w:rsidRPr="00C676A4">
          <w:rPr>
            <w:rStyle w:val="Hyperlink"/>
            <w:rFonts w:cstheme="majorHAnsi"/>
            <w:noProof/>
            <w:lang w:val="en-US" w:bidi="he-IL"/>
          </w:rPr>
          <w:t>The Why</w:t>
        </w:r>
        <w:r w:rsidR="00D15166">
          <w:rPr>
            <w:noProof/>
            <w:webHidden/>
          </w:rPr>
          <w:tab/>
        </w:r>
        <w:r w:rsidR="00D15166">
          <w:rPr>
            <w:noProof/>
            <w:webHidden/>
          </w:rPr>
          <w:fldChar w:fldCharType="begin"/>
        </w:r>
        <w:r w:rsidR="00D15166">
          <w:rPr>
            <w:noProof/>
            <w:webHidden/>
          </w:rPr>
          <w:instrText xml:space="preserve"> PAGEREF _Toc214867623 \h </w:instrText>
        </w:r>
        <w:r w:rsidR="00D15166">
          <w:rPr>
            <w:noProof/>
            <w:webHidden/>
          </w:rPr>
        </w:r>
        <w:r w:rsidR="00D15166">
          <w:rPr>
            <w:noProof/>
            <w:webHidden/>
          </w:rPr>
          <w:fldChar w:fldCharType="separate"/>
        </w:r>
        <w:r w:rsidR="00D15166">
          <w:rPr>
            <w:noProof/>
            <w:webHidden/>
          </w:rPr>
          <w:t>4</w:t>
        </w:r>
        <w:r w:rsidR="00D15166">
          <w:rPr>
            <w:noProof/>
            <w:webHidden/>
          </w:rPr>
          <w:fldChar w:fldCharType="end"/>
        </w:r>
      </w:hyperlink>
    </w:p>
    <w:p w14:paraId="08CDC314" w14:textId="4806F791"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24" w:history="1">
        <w:r w:rsidRPr="00C676A4">
          <w:rPr>
            <w:rStyle w:val="Hyperlink"/>
            <w:rFonts w:cstheme="majorHAnsi"/>
            <w:noProof/>
            <w:lang w:val="en-US" w:bidi="he-IL"/>
          </w:rPr>
          <w:t>1.1</w:t>
        </w:r>
        <w:r>
          <w:rPr>
            <w:rFonts w:eastAsiaTheme="minorEastAsia" w:cstheme="minorBidi"/>
            <w:b w:val="0"/>
            <w:bCs w:val="0"/>
            <w:noProof/>
            <w:kern w:val="2"/>
            <w:sz w:val="24"/>
            <w:szCs w:val="24"/>
            <w:lang w:val="en-AU"/>
            <w14:ligatures w14:val="standardContextual"/>
          </w:rPr>
          <w:tab/>
        </w:r>
        <w:r w:rsidRPr="00C676A4">
          <w:rPr>
            <w:rStyle w:val="Hyperlink"/>
            <w:rFonts w:cstheme="majorHAnsi"/>
            <w:noProof/>
            <w:lang w:val="en-US" w:bidi="he-IL"/>
          </w:rPr>
          <w:t>Nature in the Risk Equation</w:t>
        </w:r>
        <w:r>
          <w:rPr>
            <w:noProof/>
            <w:webHidden/>
          </w:rPr>
          <w:tab/>
        </w:r>
        <w:r>
          <w:rPr>
            <w:noProof/>
            <w:webHidden/>
          </w:rPr>
          <w:fldChar w:fldCharType="begin"/>
        </w:r>
        <w:r>
          <w:rPr>
            <w:noProof/>
            <w:webHidden/>
          </w:rPr>
          <w:instrText xml:space="preserve"> PAGEREF _Toc214867624 \h </w:instrText>
        </w:r>
        <w:r>
          <w:rPr>
            <w:noProof/>
            <w:webHidden/>
          </w:rPr>
        </w:r>
        <w:r>
          <w:rPr>
            <w:noProof/>
            <w:webHidden/>
          </w:rPr>
          <w:fldChar w:fldCharType="separate"/>
        </w:r>
        <w:r>
          <w:rPr>
            <w:noProof/>
            <w:webHidden/>
          </w:rPr>
          <w:t>4</w:t>
        </w:r>
        <w:r>
          <w:rPr>
            <w:noProof/>
            <w:webHidden/>
          </w:rPr>
          <w:fldChar w:fldCharType="end"/>
        </w:r>
      </w:hyperlink>
    </w:p>
    <w:p w14:paraId="58C18758" w14:textId="68F44CA9"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25" w:history="1">
        <w:r w:rsidRPr="00C676A4">
          <w:rPr>
            <w:rStyle w:val="Hyperlink"/>
            <w:noProof/>
            <w:lang w:val="en-US" w:bidi="he-IL"/>
          </w:rPr>
          <w:t>1.2</w:t>
        </w:r>
        <w:r>
          <w:rPr>
            <w:rFonts w:eastAsiaTheme="minorEastAsia" w:cstheme="minorBidi"/>
            <w:b w:val="0"/>
            <w:bCs w:val="0"/>
            <w:noProof/>
            <w:kern w:val="2"/>
            <w:sz w:val="24"/>
            <w:szCs w:val="24"/>
            <w:lang w:val="en-AU"/>
            <w14:ligatures w14:val="standardContextual"/>
          </w:rPr>
          <w:tab/>
        </w:r>
        <w:r w:rsidRPr="00C676A4">
          <w:rPr>
            <w:rStyle w:val="Hyperlink"/>
            <w:noProof/>
            <w:lang w:val="en-US" w:bidi="he-IL"/>
          </w:rPr>
          <w:t>The Unpriced Risk</w:t>
        </w:r>
        <w:r>
          <w:rPr>
            <w:noProof/>
            <w:webHidden/>
          </w:rPr>
          <w:tab/>
        </w:r>
        <w:r>
          <w:rPr>
            <w:noProof/>
            <w:webHidden/>
          </w:rPr>
          <w:fldChar w:fldCharType="begin"/>
        </w:r>
        <w:r>
          <w:rPr>
            <w:noProof/>
            <w:webHidden/>
          </w:rPr>
          <w:instrText xml:space="preserve"> PAGEREF _Toc214867625 \h </w:instrText>
        </w:r>
        <w:r>
          <w:rPr>
            <w:noProof/>
            <w:webHidden/>
          </w:rPr>
        </w:r>
        <w:r>
          <w:rPr>
            <w:noProof/>
            <w:webHidden/>
          </w:rPr>
          <w:fldChar w:fldCharType="separate"/>
        </w:r>
        <w:r>
          <w:rPr>
            <w:noProof/>
            <w:webHidden/>
          </w:rPr>
          <w:t>4</w:t>
        </w:r>
        <w:r>
          <w:rPr>
            <w:noProof/>
            <w:webHidden/>
          </w:rPr>
          <w:fldChar w:fldCharType="end"/>
        </w:r>
      </w:hyperlink>
    </w:p>
    <w:p w14:paraId="137213D6" w14:textId="4FA665CD"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26" w:history="1">
        <w:r w:rsidRPr="00C676A4">
          <w:rPr>
            <w:rStyle w:val="Hyperlink"/>
            <w:rFonts w:cstheme="majorHAnsi"/>
            <w:noProof/>
            <w:lang w:val="en-US" w:bidi="he-IL"/>
          </w:rPr>
          <w:t>1.3</w:t>
        </w:r>
        <w:r>
          <w:rPr>
            <w:rFonts w:eastAsiaTheme="minorEastAsia" w:cstheme="minorBidi"/>
            <w:b w:val="0"/>
            <w:bCs w:val="0"/>
            <w:noProof/>
            <w:kern w:val="2"/>
            <w:sz w:val="24"/>
            <w:szCs w:val="24"/>
            <w:lang w:val="en-AU"/>
            <w14:ligatures w14:val="standardContextual"/>
          </w:rPr>
          <w:tab/>
        </w:r>
        <w:r w:rsidRPr="00C676A4">
          <w:rPr>
            <w:rStyle w:val="Hyperlink"/>
            <w:rFonts w:cstheme="majorHAnsi"/>
            <w:noProof/>
            <w:lang w:val="en-US" w:bidi="he-IL"/>
          </w:rPr>
          <w:t>Insurance as Part of the Solution</w:t>
        </w:r>
        <w:r>
          <w:rPr>
            <w:noProof/>
            <w:webHidden/>
          </w:rPr>
          <w:tab/>
        </w:r>
        <w:r>
          <w:rPr>
            <w:noProof/>
            <w:webHidden/>
          </w:rPr>
          <w:fldChar w:fldCharType="begin"/>
        </w:r>
        <w:r>
          <w:rPr>
            <w:noProof/>
            <w:webHidden/>
          </w:rPr>
          <w:instrText xml:space="preserve"> PAGEREF _Toc214867626 \h </w:instrText>
        </w:r>
        <w:r>
          <w:rPr>
            <w:noProof/>
            <w:webHidden/>
          </w:rPr>
        </w:r>
        <w:r>
          <w:rPr>
            <w:noProof/>
            <w:webHidden/>
          </w:rPr>
          <w:fldChar w:fldCharType="separate"/>
        </w:r>
        <w:r>
          <w:rPr>
            <w:noProof/>
            <w:webHidden/>
          </w:rPr>
          <w:t>5</w:t>
        </w:r>
        <w:r>
          <w:rPr>
            <w:noProof/>
            <w:webHidden/>
          </w:rPr>
          <w:fldChar w:fldCharType="end"/>
        </w:r>
      </w:hyperlink>
    </w:p>
    <w:p w14:paraId="1A6FBC8E" w14:textId="14E20125" w:rsidR="00D15166" w:rsidRDefault="00D15166">
      <w:pPr>
        <w:pStyle w:val="TOC1"/>
        <w:rPr>
          <w:rFonts w:eastAsiaTheme="minorEastAsia" w:cstheme="minorBidi"/>
          <w:b w:val="0"/>
          <w:bCs w:val="0"/>
          <w:i w:val="0"/>
          <w:iCs w:val="0"/>
          <w:noProof/>
          <w:kern w:val="2"/>
          <w:lang w:val="en-AU"/>
          <w14:ligatures w14:val="standardContextual"/>
        </w:rPr>
      </w:pPr>
      <w:hyperlink w:anchor="_Toc214867627" w:history="1">
        <w:r w:rsidRPr="00C676A4">
          <w:rPr>
            <w:rStyle w:val="Hyperlink"/>
            <w:rFonts w:cstheme="majorHAnsi"/>
            <w:noProof/>
            <w:lang w:val="en-US" w:bidi="he-IL"/>
          </w:rPr>
          <w:t>2</w:t>
        </w:r>
        <w:r>
          <w:rPr>
            <w:rFonts w:eastAsiaTheme="minorEastAsia" w:cstheme="minorBidi"/>
            <w:b w:val="0"/>
            <w:bCs w:val="0"/>
            <w:i w:val="0"/>
            <w:iCs w:val="0"/>
            <w:noProof/>
            <w:kern w:val="2"/>
            <w:lang w:val="en-AU"/>
            <w14:ligatures w14:val="standardContextual"/>
          </w:rPr>
          <w:tab/>
        </w:r>
        <w:r w:rsidRPr="00C676A4">
          <w:rPr>
            <w:rStyle w:val="Hyperlink"/>
            <w:rFonts w:cstheme="majorHAnsi"/>
            <w:noProof/>
            <w:lang w:val="en-US" w:bidi="he-IL"/>
          </w:rPr>
          <w:t>The What</w:t>
        </w:r>
        <w:r>
          <w:rPr>
            <w:noProof/>
            <w:webHidden/>
          </w:rPr>
          <w:tab/>
        </w:r>
        <w:r>
          <w:rPr>
            <w:noProof/>
            <w:webHidden/>
          </w:rPr>
          <w:fldChar w:fldCharType="begin"/>
        </w:r>
        <w:r>
          <w:rPr>
            <w:noProof/>
            <w:webHidden/>
          </w:rPr>
          <w:instrText xml:space="preserve"> PAGEREF _Toc214867627 \h </w:instrText>
        </w:r>
        <w:r>
          <w:rPr>
            <w:noProof/>
            <w:webHidden/>
          </w:rPr>
        </w:r>
        <w:r>
          <w:rPr>
            <w:noProof/>
            <w:webHidden/>
          </w:rPr>
          <w:fldChar w:fldCharType="separate"/>
        </w:r>
        <w:r>
          <w:rPr>
            <w:noProof/>
            <w:webHidden/>
          </w:rPr>
          <w:t>6</w:t>
        </w:r>
        <w:r>
          <w:rPr>
            <w:noProof/>
            <w:webHidden/>
          </w:rPr>
          <w:fldChar w:fldCharType="end"/>
        </w:r>
      </w:hyperlink>
    </w:p>
    <w:p w14:paraId="4BA155D2" w14:textId="3C650E9D"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28" w:history="1">
        <w:r w:rsidRPr="00C676A4">
          <w:rPr>
            <w:rStyle w:val="Hyperlink"/>
            <w:rFonts w:cstheme="majorHAnsi"/>
            <w:noProof/>
            <w:lang w:val="en-US" w:bidi="he-IL"/>
          </w:rPr>
          <w:t>2.1</w:t>
        </w:r>
        <w:r>
          <w:rPr>
            <w:rFonts w:eastAsiaTheme="minorEastAsia" w:cstheme="minorBidi"/>
            <w:b w:val="0"/>
            <w:bCs w:val="0"/>
            <w:noProof/>
            <w:kern w:val="2"/>
            <w:sz w:val="24"/>
            <w:szCs w:val="24"/>
            <w:lang w:val="en-AU"/>
            <w14:ligatures w14:val="standardContextual"/>
          </w:rPr>
          <w:tab/>
        </w:r>
        <w:r w:rsidRPr="00C676A4">
          <w:rPr>
            <w:rStyle w:val="Hyperlink"/>
            <w:rFonts w:cstheme="majorHAnsi"/>
            <w:noProof/>
            <w:lang w:val="en-US" w:bidi="he-IL"/>
          </w:rPr>
          <w:t>Intended Outcomes of the Project</w:t>
        </w:r>
        <w:r>
          <w:rPr>
            <w:noProof/>
            <w:webHidden/>
          </w:rPr>
          <w:tab/>
        </w:r>
        <w:r>
          <w:rPr>
            <w:noProof/>
            <w:webHidden/>
          </w:rPr>
          <w:fldChar w:fldCharType="begin"/>
        </w:r>
        <w:r>
          <w:rPr>
            <w:noProof/>
            <w:webHidden/>
          </w:rPr>
          <w:instrText xml:space="preserve"> PAGEREF _Toc214867628 \h </w:instrText>
        </w:r>
        <w:r>
          <w:rPr>
            <w:noProof/>
            <w:webHidden/>
          </w:rPr>
        </w:r>
        <w:r>
          <w:rPr>
            <w:noProof/>
            <w:webHidden/>
          </w:rPr>
          <w:fldChar w:fldCharType="separate"/>
        </w:r>
        <w:r>
          <w:rPr>
            <w:noProof/>
            <w:webHidden/>
          </w:rPr>
          <w:t>6</w:t>
        </w:r>
        <w:r>
          <w:rPr>
            <w:noProof/>
            <w:webHidden/>
          </w:rPr>
          <w:fldChar w:fldCharType="end"/>
        </w:r>
      </w:hyperlink>
    </w:p>
    <w:p w14:paraId="07664903" w14:textId="2DF689CA"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29" w:history="1">
        <w:r w:rsidRPr="00C676A4">
          <w:rPr>
            <w:rStyle w:val="Hyperlink"/>
            <w:rFonts w:cstheme="majorHAnsi"/>
            <w:noProof/>
            <w:lang w:val="en-US" w:bidi="he-IL"/>
          </w:rPr>
          <w:t>2.2</w:t>
        </w:r>
        <w:r>
          <w:rPr>
            <w:rFonts w:eastAsiaTheme="minorEastAsia" w:cstheme="minorBidi"/>
            <w:b w:val="0"/>
            <w:bCs w:val="0"/>
            <w:noProof/>
            <w:kern w:val="2"/>
            <w:sz w:val="24"/>
            <w:szCs w:val="24"/>
            <w:lang w:val="en-AU"/>
            <w14:ligatures w14:val="standardContextual"/>
          </w:rPr>
          <w:tab/>
        </w:r>
        <w:r w:rsidRPr="00C676A4">
          <w:rPr>
            <w:rStyle w:val="Hyperlink"/>
            <w:rFonts w:cstheme="majorHAnsi"/>
            <w:noProof/>
            <w:lang w:val="en-US" w:bidi="he-IL"/>
          </w:rPr>
          <w:t>Scope of the Project</w:t>
        </w:r>
        <w:r>
          <w:rPr>
            <w:noProof/>
            <w:webHidden/>
          </w:rPr>
          <w:tab/>
        </w:r>
        <w:r>
          <w:rPr>
            <w:noProof/>
            <w:webHidden/>
          </w:rPr>
          <w:fldChar w:fldCharType="begin"/>
        </w:r>
        <w:r>
          <w:rPr>
            <w:noProof/>
            <w:webHidden/>
          </w:rPr>
          <w:instrText xml:space="preserve"> PAGEREF _Toc214867629 \h </w:instrText>
        </w:r>
        <w:r>
          <w:rPr>
            <w:noProof/>
            <w:webHidden/>
          </w:rPr>
        </w:r>
        <w:r>
          <w:rPr>
            <w:noProof/>
            <w:webHidden/>
          </w:rPr>
          <w:fldChar w:fldCharType="separate"/>
        </w:r>
        <w:r>
          <w:rPr>
            <w:noProof/>
            <w:webHidden/>
          </w:rPr>
          <w:t>7</w:t>
        </w:r>
        <w:r>
          <w:rPr>
            <w:noProof/>
            <w:webHidden/>
          </w:rPr>
          <w:fldChar w:fldCharType="end"/>
        </w:r>
      </w:hyperlink>
    </w:p>
    <w:p w14:paraId="7A0BA4E5" w14:textId="7132A8CD" w:rsidR="00D15166" w:rsidRDefault="00D15166">
      <w:pPr>
        <w:pStyle w:val="TOC1"/>
        <w:rPr>
          <w:rFonts w:eastAsiaTheme="minorEastAsia" w:cstheme="minorBidi"/>
          <w:b w:val="0"/>
          <w:bCs w:val="0"/>
          <w:i w:val="0"/>
          <w:iCs w:val="0"/>
          <w:noProof/>
          <w:kern w:val="2"/>
          <w:lang w:val="en-AU"/>
          <w14:ligatures w14:val="standardContextual"/>
        </w:rPr>
      </w:pPr>
      <w:hyperlink w:anchor="_Toc214867630" w:history="1">
        <w:r w:rsidRPr="00C676A4">
          <w:rPr>
            <w:rStyle w:val="Hyperlink"/>
            <w:noProof/>
            <w:lang w:val="en-US" w:bidi="he-IL"/>
          </w:rPr>
          <w:t>3</w:t>
        </w:r>
        <w:r>
          <w:rPr>
            <w:rFonts w:eastAsiaTheme="minorEastAsia" w:cstheme="minorBidi"/>
            <w:b w:val="0"/>
            <w:bCs w:val="0"/>
            <w:i w:val="0"/>
            <w:iCs w:val="0"/>
            <w:noProof/>
            <w:kern w:val="2"/>
            <w:lang w:val="en-AU"/>
            <w14:ligatures w14:val="standardContextual"/>
          </w:rPr>
          <w:tab/>
        </w:r>
        <w:r w:rsidRPr="00C676A4">
          <w:rPr>
            <w:rStyle w:val="Hyperlink"/>
            <w:noProof/>
            <w:lang w:val="en-US" w:bidi="he-IL"/>
          </w:rPr>
          <w:t>The How</w:t>
        </w:r>
        <w:r>
          <w:rPr>
            <w:noProof/>
            <w:webHidden/>
          </w:rPr>
          <w:tab/>
        </w:r>
        <w:r>
          <w:rPr>
            <w:noProof/>
            <w:webHidden/>
          </w:rPr>
          <w:fldChar w:fldCharType="begin"/>
        </w:r>
        <w:r>
          <w:rPr>
            <w:noProof/>
            <w:webHidden/>
          </w:rPr>
          <w:instrText xml:space="preserve"> PAGEREF _Toc214867630 \h </w:instrText>
        </w:r>
        <w:r>
          <w:rPr>
            <w:noProof/>
            <w:webHidden/>
          </w:rPr>
        </w:r>
        <w:r>
          <w:rPr>
            <w:noProof/>
            <w:webHidden/>
          </w:rPr>
          <w:fldChar w:fldCharType="separate"/>
        </w:r>
        <w:r>
          <w:rPr>
            <w:noProof/>
            <w:webHidden/>
          </w:rPr>
          <w:t>8</w:t>
        </w:r>
        <w:r>
          <w:rPr>
            <w:noProof/>
            <w:webHidden/>
          </w:rPr>
          <w:fldChar w:fldCharType="end"/>
        </w:r>
      </w:hyperlink>
    </w:p>
    <w:p w14:paraId="2BC1D6DC" w14:textId="4C16F799"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31" w:history="1">
        <w:r w:rsidRPr="00C676A4">
          <w:rPr>
            <w:rStyle w:val="Hyperlink"/>
            <w:noProof/>
            <w:lang w:val="en-US" w:bidi="he-IL"/>
          </w:rPr>
          <w:t>3.1</w:t>
        </w:r>
        <w:r>
          <w:rPr>
            <w:rFonts w:eastAsiaTheme="minorEastAsia" w:cstheme="minorBidi"/>
            <w:b w:val="0"/>
            <w:bCs w:val="0"/>
            <w:noProof/>
            <w:kern w:val="2"/>
            <w:sz w:val="24"/>
            <w:szCs w:val="24"/>
            <w:lang w:val="en-AU"/>
            <w14:ligatures w14:val="standardContextual"/>
          </w:rPr>
          <w:tab/>
        </w:r>
        <w:r w:rsidRPr="00C676A4">
          <w:rPr>
            <w:rStyle w:val="Hyperlink"/>
            <w:noProof/>
            <w:lang w:val="en-US" w:bidi="he-IL"/>
          </w:rPr>
          <w:t>High-Level Approach for the Project</w:t>
        </w:r>
        <w:r>
          <w:rPr>
            <w:noProof/>
            <w:webHidden/>
          </w:rPr>
          <w:tab/>
        </w:r>
        <w:r>
          <w:rPr>
            <w:noProof/>
            <w:webHidden/>
          </w:rPr>
          <w:fldChar w:fldCharType="begin"/>
        </w:r>
        <w:r>
          <w:rPr>
            <w:noProof/>
            <w:webHidden/>
          </w:rPr>
          <w:instrText xml:space="preserve"> PAGEREF _Toc214867631 \h </w:instrText>
        </w:r>
        <w:r>
          <w:rPr>
            <w:noProof/>
            <w:webHidden/>
          </w:rPr>
        </w:r>
        <w:r>
          <w:rPr>
            <w:noProof/>
            <w:webHidden/>
          </w:rPr>
          <w:fldChar w:fldCharType="separate"/>
        </w:r>
        <w:r>
          <w:rPr>
            <w:noProof/>
            <w:webHidden/>
          </w:rPr>
          <w:t>8</w:t>
        </w:r>
        <w:r>
          <w:rPr>
            <w:noProof/>
            <w:webHidden/>
          </w:rPr>
          <w:fldChar w:fldCharType="end"/>
        </w:r>
      </w:hyperlink>
    </w:p>
    <w:p w14:paraId="465C7E87" w14:textId="59E3A412"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32" w:history="1">
        <w:r w:rsidRPr="00C676A4">
          <w:rPr>
            <w:rStyle w:val="Hyperlink"/>
            <w:noProof/>
            <w:lang w:val="en-US" w:bidi="he-IL"/>
          </w:rPr>
          <w:t>3.2</w:t>
        </w:r>
        <w:r>
          <w:rPr>
            <w:rFonts w:eastAsiaTheme="minorEastAsia" w:cstheme="minorBidi"/>
            <w:b w:val="0"/>
            <w:bCs w:val="0"/>
            <w:noProof/>
            <w:kern w:val="2"/>
            <w:sz w:val="24"/>
            <w:szCs w:val="24"/>
            <w:lang w:val="en-AU"/>
            <w14:ligatures w14:val="standardContextual"/>
          </w:rPr>
          <w:tab/>
        </w:r>
        <w:r w:rsidRPr="00C676A4">
          <w:rPr>
            <w:rStyle w:val="Hyperlink"/>
            <w:noProof/>
            <w:lang w:val="en-US" w:bidi="he-IL"/>
          </w:rPr>
          <w:t>Delivery Workplan</w:t>
        </w:r>
        <w:r>
          <w:rPr>
            <w:noProof/>
            <w:webHidden/>
          </w:rPr>
          <w:tab/>
        </w:r>
        <w:r>
          <w:rPr>
            <w:noProof/>
            <w:webHidden/>
          </w:rPr>
          <w:fldChar w:fldCharType="begin"/>
        </w:r>
        <w:r>
          <w:rPr>
            <w:noProof/>
            <w:webHidden/>
          </w:rPr>
          <w:instrText xml:space="preserve"> PAGEREF _Toc214867632 \h </w:instrText>
        </w:r>
        <w:r>
          <w:rPr>
            <w:noProof/>
            <w:webHidden/>
          </w:rPr>
        </w:r>
        <w:r>
          <w:rPr>
            <w:noProof/>
            <w:webHidden/>
          </w:rPr>
          <w:fldChar w:fldCharType="separate"/>
        </w:r>
        <w:r>
          <w:rPr>
            <w:noProof/>
            <w:webHidden/>
          </w:rPr>
          <w:t>9</w:t>
        </w:r>
        <w:r>
          <w:rPr>
            <w:noProof/>
            <w:webHidden/>
          </w:rPr>
          <w:fldChar w:fldCharType="end"/>
        </w:r>
      </w:hyperlink>
    </w:p>
    <w:p w14:paraId="656EDB41" w14:textId="3959CF06" w:rsidR="00D15166" w:rsidRDefault="00D15166">
      <w:pPr>
        <w:pStyle w:val="TOC3"/>
        <w:tabs>
          <w:tab w:val="left" w:pos="1200"/>
          <w:tab w:val="right" w:leader="dot" w:pos="9771"/>
        </w:tabs>
        <w:rPr>
          <w:rFonts w:eastAsiaTheme="minorEastAsia" w:cstheme="minorBidi"/>
          <w:noProof/>
          <w:kern w:val="2"/>
          <w:sz w:val="24"/>
          <w:szCs w:val="24"/>
          <w:lang w:val="en-AU"/>
          <w14:ligatures w14:val="standardContextual"/>
        </w:rPr>
      </w:pPr>
      <w:hyperlink w:anchor="_Toc214867633" w:history="1">
        <w:r w:rsidRPr="00C676A4">
          <w:rPr>
            <w:rStyle w:val="Hyperlink"/>
            <w:noProof/>
            <w:lang w:bidi="he-IL"/>
          </w:rPr>
          <w:t>3.2.1</w:t>
        </w:r>
        <w:r>
          <w:rPr>
            <w:rFonts w:eastAsiaTheme="minorEastAsia" w:cstheme="minorBidi"/>
            <w:noProof/>
            <w:kern w:val="2"/>
            <w:sz w:val="24"/>
            <w:szCs w:val="24"/>
            <w:lang w:val="en-AU"/>
            <w14:ligatures w14:val="standardContextual"/>
          </w:rPr>
          <w:tab/>
        </w:r>
        <w:r w:rsidRPr="00C676A4">
          <w:rPr>
            <w:rStyle w:val="Hyperlink"/>
            <w:noProof/>
            <w:lang w:bidi="he-IL"/>
          </w:rPr>
          <w:t>Phase 1 – Component 1</w:t>
        </w:r>
        <w:r>
          <w:rPr>
            <w:noProof/>
            <w:webHidden/>
          </w:rPr>
          <w:tab/>
        </w:r>
        <w:r>
          <w:rPr>
            <w:noProof/>
            <w:webHidden/>
          </w:rPr>
          <w:fldChar w:fldCharType="begin"/>
        </w:r>
        <w:r>
          <w:rPr>
            <w:noProof/>
            <w:webHidden/>
          </w:rPr>
          <w:instrText xml:space="preserve"> PAGEREF _Toc214867633 \h </w:instrText>
        </w:r>
        <w:r>
          <w:rPr>
            <w:noProof/>
            <w:webHidden/>
          </w:rPr>
        </w:r>
        <w:r>
          <w:rPr>
            <w:noProof/>
            <w:webHidden/>
          </w:rPr>
          <w:fldChar w:fldCharType="separate"/>
        </w:r>
        <w:r>
          <w:rPr>
            <w:noProof/>
            <w:webHidden/>
          </w:rPr>
          <w:t>9</w:t>
        </w:r>
        <w:r>
          <w:rPr>
            <w:noProof/>
            <w:webHidden/>
          </w:rPr>
          <w:fldChar w:fldCharType="end"/>
        </w:r>
      </w:hyperlink>
    </w:p>
    <w:p w14:paraId="68DE4120" w14:textId="78CA44AB" w:rsidR="00D15166" w:rsidRDefault="00D15166">
      <w:pPr>
        <w:pStyle w:val="TOC3"/>
        <w:tabs>
          <w:tab w:val="left" w:pos="1200"/>
          <w:tab w:val="right" w:leader="dot" w:pos="9771"/>
        </w:tabs>
        <w:rPr>
          <w:rFonts w:eastAsiaTheme="minorEastAsia" w:cstheme="minorBidi"/>
          <w:noProof/>
          <w:kern w:val="2"/>
          <w:sz w:val="24"/>
          <w:szCs w:val="24"/>
          <w:lang w:val="en-AU"/>
          <w14:ligatures w14:val="standardContextual"/>
        </w:rPr>
      </w:pPr>
      <w:hyperlink w:anchor="_Toc214867634" w:history="1">
        <w:r w:rsidRPr="00C676A4">
          <w:rPr>
            <w:rStyle w:val="Hyperlink"/>
            <w:noProof/>
            <w:lang w:bidi="he-IL"/>
          </w:rPr>
          <w:t>3.2.2</w:t>
        </w:r>
        <w:r>
          <w:rPr>
            <w:rFonts w:eastAsiaTheme="minorEastAsia" w:cstheme="minorBidi"/>
            <w:noProof/>
            <w:kern w:val="2"/>
            <w:sz w:val="24"/>
            <w:szCs w:val="24"/>
            <w:lang w:val="en-AU"/>
            <w14:ligatures w14:val="standardContextual"/>
          </w:rPr>
          <w:tab/>
        </w:r>
        <w:r w:rsidRPr="00C676A4">
          <w:rPr>
            <w:rStyle w:val="Hyperlink"/>
            <w:noProof/>
            <w:lang w:bidi="he-IL"/>
          </w:rPr>
          <w:t>Phase 2 – Component 2</w:t>
        </w:r>
        <w:r>
          <w:rPr>
            <w:noProof/>
            <w:webHidden/>
          </w:rPr>
          <w:tab/>
        </w:r>
        <w:r>
          <w:rPr>
            <w:noProof/>
            <w:webHidden/>
          </w:rPr>
          <w:fldChar w:fldCharType="begin"/>
        </w:r>
        <w:r>
          <w:rPr>
            <w:noProof/>
            <w:webHidden/>
          </w:rPr>
          <w:instrText xml:space="preserve"> PAGEREF _Toc214867634 \h </w:instrText>
        </w:r>
        <w:r>
          <w:rPr>
            <w:noProof/>
            <w:webHidden/>
          </w:rPr>
        </w:r>
        <w:r>
          <w:rPr>
            <w:noProof/>
            <w:webHidden/>
          </w:rPr>
          <w:fldChar w:fldCharType="separate"/>
        </w:r>
        <w:r>
          <w:rPr>
            <w:noProof/>
            <w:webHidden/>
          </w:rPr>
          <w:t>10</w:t>
        </w:r>
        <w:r>
          <w:rPr>
            <w:noProof/>
            <w:webHidden/>
          </w:rPr>
          <w:fldChar w:fldCharType="end"/>
        </w:r>
      </w:hyperlink>
    </w:p>
    <w:p w14:paraId="317553C6" w14:textId="0AB2CB60" w:rsidR="00D15166" w:rsidRDefault="00D15166">
      <w:pPr>
        <w:pStyle w:val="TOC3"/>
        <w:tabs>
          <w:tab w:val="left" w:pos="1200"/>
          <w:tab w:val="right" w:leader="dot" w:pos="9771"/>
        </w:tabs>
        <w:rPr>
          <w:rFonts w:eastAsiaTheme="minorEastAsia" w:cstheme="minorBidi"/>
          <w:noProof/>
          <w:kern w:val="2"/>
          <w:sz w:val="24"/>
          <w:szCs w:val="24"/>
          <w:lang w:val="en-AU"/>
          <w14:ligatures w14:val="standardContextual"/>
        </w:rPr>
      </w:pPr>
      <w:hyperlink w:anchor="_Toc214867635" w:history="1">
        <w:r w:rsidRPr="00C676A4">
          <w:rPr>
            <w:rStyle w:val="Hyperlink"/>
            <w:noProof/>
            <w:lang w:bidi="he-IL"/>
          </w:rPr>
          <w:t>3.2.3</w:t>
        </w:r>
        <w:r>
          <w:rPr>
            <w:rFonts w:eastAsiaTheme="minorEastAsia" w:cstheme="minorBidi"/>
            <w:noProof/>
            <w:kern w:val="2"/>
            <w:sz w:val="24"/>
            <w:szCs w:val="24"/>
            <w:lang w:val="en-AU"/>
            <w14:ligatures w14:val="standardContextual"/>
          </w:rPr>
          <w:tab/>
        </w:r>
        <w:r w:rsidRPr="00C676A4">
          <w:rPr>
            <w:rStyle w:val="Hyperlink"/>
            <w:noProof/>
            <w:lang w:bidi="he-IL"/>
          </w:rPr>
          <w:t>Phase 3 – Component 3</w:t>
        </w:r>
        <w:r>
          <w:rPr>
            <w:noProof/>
            <w:webHidden/>
          </w:rPr>
          <w:tab/>
        </w:r>
        <w:r>
          <w:rPr>
            <w:noProof/>
            <w:webHidden/>
          </w:rPr>
          <w:fldChar w:fldCharType="begin"/>
        </w:r>
        <w:r>
          <w:rPr>
            <w:noProof/>
            <w:webHidden/>
          </w:rPr>
          <w:instrText xml:space="preserve"> PAGEREF _Toc214867635 \h </w:instrText>
        </w:r>
        <w:r>
          <w:rPr>
            <w:noProof/>
            <w:webHidden/>
          </w:rPr>
        </w:r>
        <w:r>
          <w:rPr>
            <w:noProof/>
            <w:webHidden/>
          </w:rPr>
          <w:fldChar w:fldCharType="separate"/>
        </w:r>
        <w:r>
          <w:rPr>
            <w:noProof/>
            <w:webHidden/>
          </w:rPr>
          <w:t>10</w:t>
        </w:r>
        <w:r>
          <w:rPr>
            <w:noProof/>
            <w:webHidden/>
          </w:rPr>
          <w:fldChar w:fldCharType="end"/>
        </w:r>
      </w:hyperlink>
    </w:p>
    <w:p w14:paraId="7D1BA306" w14:textId="45842D8F" w:rsidR="00D15166" w:rsidRDefault="00D15166">
      <w:pPr>
        <w:pStyle w:val="TOC3"/>
        <w:tabs>
          <w:tab w:val="left" w:pos="1200"/>
          <w:tab w:val="right" w:leader="dot" w:pos="9771"/>
        </w:tabs>
        <w:rPr>
          <w:rFonts w:eastAsiaTheme="minorEastAsia" w:cstheme="minorBidi"/>
          <w:noProof/>
          <w:kern w:val="2"/>
          <w:sz w:val="24"/>
          <w:szCs w:val="24"/>
          <w:lang w:val="en-AU"/>
          <w14:ligatures w14:val="standardContextual"/>
        </w:rPr>
      </w:pPr>
      <w:hyperlink w:anchor="_Toc214867636" w:history="1">
        <w:r w:rsidRPr="00C676A4">
          <w:rPr>
            <w:rStyle w:val="Hyperlink"/>
            <w:noProof/>
            <w:lang w:bidi="he-IL"/>
          </w:rPr>
          <w:t>3.2.4</w:t>
        </w:r>
        <w:r>
          <w:rPr>
            <w:rFonts w:eastAsiaTheme="minorEastAsia" w:cstheme="minorBidi"/>
            <w:noProof/>
            <w:kern w:val="2"/>
            <w:sz w:val="24"/>
            <w:szCs w:val="24"/>
            <w:lang w:val="en-AU"/>
            <w14:ligatures w14:val="standardContextual"/>
          </w:rPr>
          <w:tab/>
        </w:r>
        <w:r w:rsidRPr="00C676A4">
          <w:rPr>
            <w:rStyle w:val="Hyperlink"/>
            <w:noProof/>
            <w:lang w:bidi="he-IL"/>
          </w:rPr>
          <w:t>Phase 4 – Component 4</w:t>
        </w:r>
        <w:r>
          <w:rPr>
            <w:noProof/>
            <w:webHidden/>
          </w:rPr>
          <w:tab/>
        </w:r>
        <w:r>
          <w:rPr>
            <w:noProof/>
            <w:webHidden/>
          </w:rPr>
          <w:fldChar w:fldCharType="begin"/>
        </w:r>
        <w:r>
          <w:rPr>
            <w:noProof/>
            <w:webHidden/>
          </w:rPr>
          <w:instrText xml:space="preserve"> PAGEREF _Toc214867636 \h </w:instrText>
        </w:r>
        <w:r>
          <w:rPr>
            <w:noProof/>
            <w:webHidden/>
          </w:rPr>
        </w:r>
        <w:r>
          <w:rPr>
            <w:noProof/>
            <w:webHidden/>
          </w:rPr>
          <w:fldChar w:fldCharType="separate"/>
        </w:r>
        <w:r>
          <w:rPr>
            <w:noProof/>
            <w:webHidden/>
          </w:rPr>
          <w:t>11</w:t>
        </w:r>
        <w:r>
          <w:rPr>
            <w:noProof/>
            <w:webHidden/>
          </w:rPr>
          <w:fldChar w:fldCharType="end"/>
        </w:r>
      </w:hyperlink>
    </w:p>
    <w:p w14:paraId="284A240D" w14:textId="6B255F81"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37" w:history="1">
        <w:r w:rsidRPr="00C676A4">
          <w:rPr>
            <w:rStyle w:val="Hyperlink"/>
            <w:noProof/>
            <w:lang w:val="en-US" w:bidi="he-IL"/>
          </w:rPr>
          <w:t>3.3</w:t>
        </w:r>
        <w:r>
          <w:rPr>
            <w:rFonts w:eastAsiaTheme="minorEastAsia" w:cstheme="minorBidi"/>
            <w:b w:val="0"/>
            <w:bCs w:val="0"/>
            <w:noProof/>
            <w:kern w:val="2"/>
            <w:sz w:val="24"/>
            <w:szCs w:val="24"/>
            <w:lang w:val="en-AU"/>
            <w14:ligatures w14:val="standardContextual"/>
          </w:rPr>
          <w:tab/>
        </w:r>
        <w:r w:rsidRPr="00C676A4">
          <w:rPr>
            <w:rStyle w:val="Hyperlink"/>
            <w:noProof/>
            <w:lang w:val="en-US" w:bidi="he-IL"/>
          </w:rPr>
          <w:t>Deliverables of the Project</w:t>
        </w:r>
        <w:r>
          <w:rPr>
            <w:noProof/>
            <w:webHidden/>
          </w:rPr>
          <w:tab/>
        </w:r>
        <w:r>
          <w:rPr>
            <w:noProof/>
            <w:webHidden/>
          </w:rPr>
          <w:fldChar w:fldCharType="begin"/>
        </w:r>
        <w:r>
          <w:rPr>
            <w:noProof/>
            <w:webHidden/>
          </w:rPr>
          <w:instrText xml:space="preserve"> PAGEREF _Toc214867637 \h </w:instrText>
        </w:r>
        <w:r>
          <w:rPr>
            <w:noProof/>
            <w:webHidden/>
          </w:rPr>
        </w:r>
        <w:r>
          <w:rPr>
            <w:noProof/>
            <w:webHidden/>
          </w:rPr>
          <w:fldChar w:fldCharType="separate"/>
        </w:r>
        <w:r>
          <w:rPr>
            <w:noProof/>
            <w:webHidden/>
          </w:rPr>
          <w:t>11</w:t>
        </w:r>
        <w:r>
          <w:rPr>
            <w:noProof/>
            <w:webHidden/>
          </w:rPr>
          <w:fldChar w:fldCharType="end"/>
        </w:r>
      </w:hyperlink>
    </w:p>
    <w:p w14:paraId="3F55DEC4" w14:textId="64C5DC54"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38" w:history="1">
        <w:r w:rsidRPr="00C676A4">
          <w:rPr>
            <w:rStyle w:val="Hyperlink"/>
            <w:noProof/>
            <w:lang w:val="en-US" w:bidi="he-IL"/>
          </w:rPr>
          <w:t>3.4</w:t>
        </w:r>
        <w:r>
          <w:rPr>
            <w:rFonts w:eastAsiaTheme="minorEastAsia" w:cstheme="minorBidi"/>
            <w:b w:val="0"/>
            <w:bCs w:val="0"/>
            <w:noProof/>
            <w:kern w:val="2"/>
            <w:sz w:val="24"/>
            <w:szCs w:val="24"/>
            <w:lang w:val="en-AU"/>
            <w14:ligatures w14:val="standardContextual"/>
          </w:rPr>
          <w:tab/>
        </w:r>
        <w:r w:rsidRPr="00C676A4">
          <w:rPr>
            <w:rStyle w:val="Hyperlink"/>
            <w:noProof/>
            <w:lang w:val="en-US" w:bidi="he-IL"/>
          </w:rPr>
          <w:t>Core Thematic Group</w:t>
        </w:r>
        <w:r>
          <w:rPr>
            <w:noProof/>
            <w:webHidden/>
          </w:rPr>
          <w:tab/>
        </w:r>
        <w:r>
          <w:rPr>
            <w:noProof/>
            <w:webHidden/>
          </w:rPr>
          <w:fldChar w:fldCharType="begin"/>
        </w:r>
        <w:r>
          <w:rPr>
            <w:noProof/>
            <w:webHidden/>
          </w:rPr>
          <w:instrText xml:space="preserve"> PAGEREF _Toc214867638 \h </w:instrText>
        </w:r>
        <w:r>
          <w:rPr>
            <w:noProof/>
            <w:webHidden/>
          </w:rPr>
        </w:r>
        <w:r>
          <w:rPr>
            <w:noProof/>
            <w:webHidden/>
          </w:rPr>
          <w:fldChar w:fldCharType="separate"/>
        </w:r>
        <w:r>
          <w:rPr>
            <w:noProof/>
            <w:webHidden/>
          </w:rPr>
          <w:t>12</w:t>
        </w:r>
        <w:r>
          <w:rPr>
            <w:noProof/>
            <w:webHidden/>
          </w:rPr>
          <w:fldChar w:fldCharType="end"/>
        </w:r>
      </w:hyperlink>
    </w:p>
    <w:p w14:paraId="5C4FC916" w14:textId="28307BD3" w:rsidR="00D15166" w:rsidRDefault="00D15166">
      <w:pPr>
        <w:pStyle w:val="TOC1"/>
        <w:rPr>
          <w:rFonts w:eastAsiaTheme="minorEastAsia" w:cstheme="minorBidi"/>
          <w:b w:val="0"/>
          <w:bCs w:val="0"/>
          <w:i w:val="0"/>
          <w:iCs w:val="0"/>
          <w:noProof/>
          <w:kern w:val="2"/>
          <w:lang w:val="en-AU"/>
          <w14:ligatures w14:val="standardContextual"/>
        </w:rPr>
      </w:pPr>
      <w:hyperlink w:anchor="_Toc214867639" w:history="1">
        <w:r w:rsidRPr="00C676A4">
          <w:rPr>
            <w:rStyle w:val="Hyperlink"/>
            <w:noProof/>
            <w:lang w:val="en-US" w:bidi="he-IL"/>
          </w:rPr>
          <w:t>4</w:t>
        </w:r>
        <w:r>
          <w:rPr>
            <w:rFonts w:eastAsiaTheme="minorEastAsia" w:cstheme="minorBidi"/>
            <w:b w:val="0"/>
            <w:bCs w:val="0"/>
            <w:i w:val="0"/>
            <w:iCs w:val="0"/>
            <w:noProof/>
            <w:kern w:val="2"/>
            <w:lang w:val="en-AU"/>
            <w14:ligatures w14:val="standardContextual"/>
          </w:rPr>
          <w:tab/>
        </w:r>
        <w:r w:rsidRPr="00C676A4">
          <w:rPr>
            <w:rStyle w:val="Hyperlink"/>
            <w:noProof/>
            <w:lang w:val="en-US" w:bidi="he-IL"/>
          </w:rPr>
          <w:t>Annex – Methodology Document</w:t>
        </w:r>
        <w:r>
          <w:rPr>
            <w:noProof/>
            <w:webHidden/>
          </w:rPr>
          <w:tab/>
        </w:r>
        <w:r>
          <w:rPr>
            <w:noProof/>
            <w:webHidden/>
          </w:rPr>
          <w:fldChar w:fldCharType="begin"/>
        </w:r>
        <w:r>
          <w:rPr>
            <w:noProof/>
            <w:webHidden/>
          </w:rPr>
          <w:instrText xml:space="preserve"> PAGEREF _Toc214867639 \h </w:instrText>
        </w:r>
        <w:r>
          <w:rPr>
            <w:noProof/>
            <w:webHidden/>
          </w:rPr>
        </w:r>
        <w:r>
          <w:rPr>
            <w:noProof/>
            <w:webHidden/>
          </w:rPr>
          <w:fldChar w:fldCharType="separate"/>
        </w:r>
        <w:r>
          <w:rPr>
            <w:noProof/>
            <w:webHidden/>
          </w:rPr>
          <w:t>13</w:t>
        </w:r>
        <w:r>
          <w:rPr>
            <w:noProof/>
            <w:webHidden/>
          </w:rPr>
          <w:fldChar w:fldCharType="end"/>
        </w:r>
      </w:hyperlink>
    </w:p>
    <w:p w14:paraId="7BE2408F" w14:textId="0E20A643"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40" w:history="1">
        <w:r w:rsidRPr="00C676A4">
          <w:rPr>
            <w:rStyle w:val="Hyperlink"/>
            <w:noProof/>
            <w:lang w:val="en-US" w:bidi="he-IL"/>
          </w:rPr>
          <w:t>4.1</w:t>
        </w:r>
        <w:r>
          <w:rPr>
            <w:rFonts w:eastAsiaTheme="minorEastAsia" w:cstheme="minorBidi"/>
            <w:b w:val="0"/>
            <w:bCs w:val="0"/>
            <w:noProof/>
            <w:kern w:val="2"/>
            <w:sz w:val="24"/>
            <w:szCs w:val="24"/>
            <w:lang w:val="en-AU"/>
            <w14:ligatures w14:val="standardContextual"/>
          </w:rPr>
          <w:tab/>
        </w:r>
        <w:r w:rsidRPr="00C676A4">
          <w:rPr>
            <w:rStyle w:val="Hyperlink"/>
            <w:noProof/>
            <w:lang w:val="en-US" w:bidi="he-IL"/>
          </w:rPr>
          <w:t>Assumptions current state</w:t>
        </w:r>
        <w:r>
          <w:rPr>
            <w:noProof/>
            <w:webHidden/>
          </w:rPr>
          <w:tab/>
        </w:r>
        <w:r>
          <w:rPr>
            <w:noProof/>
            <w:webHidden/>
          </w:rPr>
          <w:fldChar w:fldCharType="begin"/>
        </w:r>
        <w:r>
          <w:rPr>
            <w:noProof/>
            <w:webHidden/>
          </w:rPr>
          <w:instrText xml:space="preserve"> PAGEREF _Toc214867640 \h </w:instrText>
        </w:r>
        <w:r>
          <w:rPr>
            <w:noProof/>
            <w:webHidden/>
          </w:rPr>
        </w:r>
        <w:r>
          <w:rPr>
            <w:noProof/>
            <w:webHidden/>
          </w:rPr>
          <w:fldChar w:fldCharType="separate"/>
        </w:r>
        <w:r>
          <w:rPr>
            <w:noProof/>
            <w:webHidden/>
          </w:rPr>
          <w:t>13</w:t>
        </w:r>
        <w:r>
          <w:rPr>
            <w:noProof/>
            <w:webHidden/>
          </w:rPr>
          <w:fldChar w:fldCharType="end"/>
        </w:r>
      </w:hyperlink>
    </w:p>
    <w:p w14:paraId="31D3998C" w14:textId="33535B30"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41" w:history="1">
        <w:r w:rsidRPr="00C676A4">
          <w:rPr>
            <w:rStyle w:val="Hyperlink"/>
            <w:noProof/>
            <w:lang w:val="en-US" w:bidi="he-IL"/>
          </w:rPr>
          <w:t>4.2</w:t>
        </w:r>
        <w:r>
          <w:rPr>
            <w:rFonts w:eastAsiaTheme="minorEastAsia" w:cstheme="minorBidi"/>
            <w:b w:val="0"/>
            <w:bCs w:val="0"/>
            <w:noProof/>
            <w:kern w:val="2"/>
            <w:sz w:val="24"/>
            <w:szCs w:val="24"/>
            <w:lang w:val="en-AU"/>
            <w14:ligatures w14:val="standardContextual"/>
          </w:rPr>
          <w:tab/>
        </w:r>
        <w:r w:rsidRPr="00C676A4">
          <w:rPr>
            <w:rStyle w:val="Hyperlink"/>
            <w:noProof/>
            <w:lang w:val="en-US" w:bidi="he-IL"/>
          </w:rPr>
          <w:t>Details for Component 1</w:t>
        </w:r>
        <w:r>
          <w:rPr>
            <w:noProof/>
            <w:webHidden/>
          </w:rPr>
          <w:tab/>
        </w:r>
        <w:r>
          <w:rPr>
            <w:noProof/>
            <w:webHidden/>
          </w:rPr>
          <w:fldChar w:fldCharType="begin"/>
        </w:r>
        <w:r>
          <w:rPr>
            <w:noProof/>
            <w:webHidden/>
          </w:rPr>
          <w:instrText xml:space="preserve"> PAGEREF _Toc214867641 \h </w:instrText>
        </w:r>
        <w:r>
          <w:rPr>
            <w:noProof/>
            <w:webHidden/>
          </w:rPr>
        </w:r>
        <w:r>
          <w:rPr>
            <w:noProof/>
            <w:webHidden/>
          </w:rPr>
          <w:fldChar w:fldCharType="separate"/>
        </w:r>
        <w:r>
          <w:rPr>
            <w:noProof/>
            <w:webHidden/>
          </w:rPr>
          <w:t>13</w:t>
        </w:r>
        <w:r>
          <w:rPr>
            <w:noProof/>
            <w:webHidden/>
          </w:rPr>
          <w:fldChar w:fldCharType="end"/>
        </w:r>
      </w:hyperlink>
    </w:p>
    <w:p w14:paraId="1DB66368" w14:textId="1BFF67A8"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42" w:history="1">
        <w:r w:rsidRPr="00C676A4">
          <w:rPr>
            <w:rStyle w:val="Hyperlink"/>
            <w:noProof/>
            <w:lang w:val="en-US" w:bidi="he-IL"/>
          </w:rPr>
          <w:t>4.3</w:t>
        </w:r>
        <w:r>
          <w:rPr>
            <w:rFonts w:eastAsiaTheme="minorEastAsia" w:cstheme="minorBidi"/>
            <w:b w:val="0"/>
            <w:bCs w:val="0"/>
            <w:noProof/>
            <w:kern w:val="2"/>
            <w:sz w:val="24"/>
            <w:szCs w:val="24"/>
            <w:lang w:val="en-AU"/>
            <w14:ligatures w14:val="standardContextual"/>
          </w:rPr>
          <w:tab/>
        </w:r>
        <w:r w:rsidRPr="00C676A4">
          <w:rPr>
            <w:rStyle w:val="Hyperlink"/>
            <w:noProof/>
            <w:lang w:val="en-US" w:bidi="he-IL"/>
          </w:rPr>
          <w:t>Details for Component 2</w:t>
        </w:r>
        <w:r>
          <w:rPr>
            <w:noProof/>
            <w:webHidden/>
          </w:rPr>
          <w:tab/>
        </w:r>
        <w:r>
          <w:rPr>
            <w:noProof/>
            <w:webHidden/>
          </w:rPr>
          <w:fldChar w:fldCharType="begin"/>
        </w:r>
        <w:r>
          <w:rPr>
            <w:noProof/>
            <w:webHidden/>
          </w:rPr>
          <w:instrText xml:space="preserve"> PAGEREF _Toc214867642 \h </w:instrText>
        </w:r>
        <w:r>
          <w:rPr>
            <w:noProof/>
            <w:webHidden/>
          </w:rPr>
        </w:r>
        <w:r>
          <w:rPr>
            <w:noProof/>
            <w:webHidden/>
          </w:rPr>
          <w:fldChar w:fldCharType="separate"/>
        </w:r>
        <w:r>
          <w:rPr>
            <w:noProof/>
            <w:webHidden/>
          </w:rPr>
          <w:t>13</w:t>
        </w:r>
        <w:r>
          <w:rPr>
            <w:noProof/>
            <w:webHidden/>
          </w:rPr>
          <w:fldChar w:fldCharType="end"/>
        </w:r>
      </w:hyperlink>
    </w:p>
    <w:p w14:paraId="7910548F" w14:textId="7F7DD925"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43" w:history="1">
        <w:r w:rsidRPr="00C676A4">
          <w:rPr>
            <w:rStyle w:val="Hyperlink"/>
            <w:noProof/>
            <w:lang w:val="en-US" w:bidi="he-IL"/>
          </w:rPr>
          <w:t>4.4</w:t>
        </w:r>
        <w:r>
          <w:rPr>
            <w:rFonts w:eastAsiaTheme="minorEastAsia" w:cstheme="minorBidi"/>
            <w:b w:val="0"/>
            <w:bCs w:val="0"/>
            <w:noProof/>
            <w:kern w:val="2"/>
            <w:sz w:val="24"/>
            <w:szCs w:val="24"/>
            <w:lang w:val="en-AU"/>
            <w14:ligatures w14:val="standardContextual"/>
          </w:rPr>
          <w:tab/>
        </w:r>
        <w:r w:rsidRPr="00C676A4">
          <w:rPr>
            <w:rStyle w:val="Hyperlink"/>
            <w:noProof/>
            <w:lang w:val="en-US" w:bidi="he-IL"/>
          </w:rPr>
          <w:t>Details for Component 3</w:t>
        </w:r>
        <w:r>
          <w:rPr>
            <w:noProof/>
            <w:webHidden/>
          </w:rPr>
          <w:tab/>
        </w:r>
        <w:r>
          <w:rPr>
            <w:noProof/>
            <w:webHidden/>
          </w:rPr>
          <w:fldChar w:fldCharType="begin"/>
        </w:r>
        <w:r>
          <w:rPr>
            <w:noProof/>
            <w:webHidden/>
          </w:rPr>
          <w:instrText xml:space="preserve"> PAGEREF _Toc214867643 \h </w:instrText>
        </w:r>
        <w:r>
          <w:rPr>
            <w:noProof/>
            <w:webHidden/>
          </w:rPr>
        </w:r>
        <w:r>
          <w:rPr>
            <w:noProof/>
            <w:webHidden/>
          </w:rPr>
          <w:fldChar w:fldCharType="separate"/>
        </w:r>
        <w:r>
          <w:rPr>
            <w:noProof/>
            <w:webHidden/>
          </w:rPr>
          <w:t>13</w:t>
        </w:r>
        <w:r>
          <w:rPr>
            <w:noProof/>
            <w:webHidden/>
          </w:rPr>
          <w:fldChar w:fldCharType="end"/>
        </w:r>
      </w:hyperlink>
    </w:p>
    <w:p w14:paraId="0288F29B" w14:textId="268A7A13" w:rsidR="00D15166" w:rsidRDefault="00D15166">
      <w:pPr>
        <w:pStyle w:val="TOC2"/>
        <w:tabs>
          <w:tab w:val="left" w:pos="960"/>
          <w:tab w:val="right" w:leader="dot" w:pos="9771"/>
        </w:tabs>
        <w:rPr>
          <w:rFonts w:eastAsiaTheme="minorEastAsia" w:cstheme="minorBidi"/>
          <w:b w:val="0"/>
          <w:bCs w:val="0"/>
          <w:noProof/>
          <w:kern w:val="2"/>
          <w:sz w:val="24"/>
          <w:szCs w:val="24"/>
          <w:lang w:val="en-AU"/>
          <w14:ligatures w14:val="standardContextual"/>
        </w:rPr>
      </w:pPr>
      <w:hyperlink w:anchor="_Toc214867644" w:history="1">
        <w:r w:rsidRPr="00C676A4">
          <w:rPr>
            <w:rStyle w:val="Hyperlink"/>
            <w:noProof/>
            <w:lang w:val="en-US" w:bidi="he-IL"/>
          </w:rPr>
          <w:t>4.5</w:t>
        </w:r>
        <w:r>
          <w:rPr>
            <w:rFonts w:eastAsiaTheme="minorEastAsia" w:cstheme="minorBidi"/>
            <w:b w:val="0"/>
            <w:bCs w:val="0"/>
            <w:noProof/>
            <w:kern w:val="2"/>
            <w:sz w:val="24"/>
            <w:szCs w:val="24"/>
            <w:lang w:val="en-AU"/>
            <w14:ligatures w14:val="standardContextual"/>
          </w:rPr>
          <w:tab/>
        </w:r>
        <w:r w:rsidRPr="00C676A4">
          <w:rPr>
            <w:rStyle w:val="Hyperlink"/>
            <w:noProof/>
            <w:lang w:val="en-US" w:bidi="he-IL"/>
          </w:rPr>
          <w:t>Details for Component 4</w:t>
        </w:r>
        <w:r>
          <w:rPr>
            <w:noProof/>
            <w:webHidden/>
          </w:rPr>
          <w:tab/>
        </w:r>
        <w:r>
          <w:rPr>
            <w:noProof/>
            <w:webHidden/>
          </w:rPr>
          <w:fldChar w:fldCharType="begin"/>
        </w:r>
        <w:r>
          <w:rPr>
            <w:noProof/>
            <w:webHidden/>
          </w:rPr>
          <w:instrText xml:space="preserve"> PAGEREF _Toc214867644 \h </w:instrText>
        </w:r>
        <w:r>
          <w:rPr>
            <w:noProof/>
            <w:webHidden/>
          </w:rPr>
        </w:r>
        <w:r>
          <w:rPr>
            <w:noProof/>
            <w:webHidden/>
          </w:rPr>
          <w:fldChar w:fldCharType="separate"/>
        </w:r>
        <w:r>
          <w:rPr>
            <w:noProof/>
            <w:webHidden/>
          </w:rPr>
          <w:t>13</w:t>
        </w:r>
        <w:r>
          <w:rPr>
            <w:noProof/>
            <w:webHidden/>
          </w:rPr>
          <w:fldChar w:fldCharType="end"/>
        </w:r>
      </w:hyperlink>
    </w:p>
    <w:p w14:paraId="1FF9DEDF" w14:textId="5ACFD323" w:rsidR="00F93703" w:rsidRPr="008F2580" w:rsidRDefault="00F93703" w:rsidP="00F93703">
      <w:pPr>
        <w:rPr>
          <w:rFonts w:asciiTheme="majorHAnsi" w:hAnsiTheme="majorHAnsi" w:cstheme="majorHAnsi"/>
          <w:noProof/>
          <w:lang w:val="en-US"/>
        </w:rPr>
      </w:pPr>
      <w:r w:rsidRPr="008F2580">
        <w:rPr>
          <w:rFonts w:asciiTheme="majorHAnsi" w:hAnsiTheme="majorHAnsi" w:cstheme="majorHAnsi"/>
          <w:noProof/>
          <w:lang w:val="en-US"/>
        </w:rPr>
        <w:fldChar w:fldCharType="end"/>
      </w:r>
    </w:p>
    <w:p w14:paraId="4FE7D9D7" w14:textId="77777777" w:rsidR="000528A9" w:rsidRPr="008F2580" w:rsidRDefault="000528A9">
      <w:pPr>
        <w:spacing w:after="160" w:line="259" w:lineRule="auto"/>
        <w:rPr>
          <w:rFonts w:asciiTheme="majorHAnsi" w:eastAsia="Calibri" w:hAnsiTheme="majorHAnsi" w:cstheme="majorHAnsi"/>
          <w:b/>
          <w:color w:val="00B0F0"/>
          <w:sz w:val="28"/>
          <w:szCs w:val="28"/>
          <w:lang w:val="en-US" w:eastAsia="en-US" w:bidi="he-IL"/>
        </w:rPr>
      </w:pPr>
      <w:r w:rsidRPr="008F2580">
        <w:rPr>
          <w:rFonts w:asciiTheme="majorHAnsi" w:eastAsia="Calibri" w:hAnsiTheme="majorHAnsi" w:cstheme="majorHAnsi"/>
          <w:b/>
          <w:color w:val="00B0F0"/>
          <w:sz w:val="28"/>
          <w:szCs w:val="28"/>
          <w:lang w:val="en-US"/>
        </w:rPr>
        <w:br w:type="page"/>
      </w:r>
    </w:p>
    <w:p w14:paraId="0C9CFC3A" w14:textId="77777777" w:rsidR="006A72F8" w:rsidRPr="008F2580" w:rsidRDefault="00B23FBD" w:rsidP="00023BF0">
      <w:pPr>
        <w:pStyle w:val="Heading1"/>
        <w:numPr>
          <w:ilvl w:val="0"/>
          <w:numId w:val="3"/>
        </w:numPr>
        <w:rPr>
          <w:rFonts w:cstheme="majorHAnsi"/>
          <w:lang w:val="en-US"/>
        </w:rPr>
      </w:pPr>
      <w:bookmarkStart w:id="0" w:name="_Toc214867623"/>
      <w:r>
        <w:rPr>
          <w:rFonts w:cstheme="majorHAnsi"/>
          <w:lang w:val="en-US"/>
        </w:rPr>
        <w:lastRenderedPageBreak/>
        <w:t>The Why</w:t>
      </w:r>
      <w:bookmarkEnd w:id="0"/>
    </w:p>
    <w:p w14:paraId="7D84FEDB" w14:textId="4F279ED5" w:rsidR="006F6A7B" w:rsidRPr="004B41B1" w:rsidRDefault="00EF5DC1" w:rsidP="006F6A7B">
      <w:pPr>
        <w:pStyle w:val="Heading2"/>
        <w:rPr>
          <w:rFonts w:cstheme="majorHAnsi"/>
          <w:lang w:val="en-US"/>
        </w:rPr>
      </w:pPr>
      <w:bookmarkStart w:id="1" w:name="_Toc214867624"/>
      <w:r w:rsidRPr="004B41B1">
        <w:rPr>
          <w:rFonts w:cstheme="majorHAnsi"/>
          <w:lang w:val="en-US"/>
        </w:rPr>
        <w:t>Nature in the Risk Equation</w:t>
      </w:r>
      <w:bookmarkEnd w:id="1"/>
    </w:p>
    <w:p w14:paraId="723203D4" w14:textId="77777777" w:rsidR="006F6A7B" w:rsidRDefault="006F6A7B" w:rsidP="008957B0">
      <w:pPr>
        <w:jc w:val="both"/>
        <w:rPr>
          <w:rFonts w:asciiTheme="majorHAnsi" w:hAnsiTheme="majorHAnsi" w:cstheme="majorHAnsi"/>
          <w:sz w:val="20"/>
          <w:szCs w:val="20"/>
          <w:lang w:val="en-US" w:eastAsia="en-US" w:bidi="he-IL"/>
        </w:rPr>
      </w:pPr>
    </w:p>
    <w:p w14:paraId="1A311DE0" w14:textId="417C4B14" w:rsidR="008957B0" w:rsidRDefault="008957B0" w:rsidP="008957B0">
      <w:pPr>
        <w:jc w:val="both"/>
        <w:rPr>
          <w:rFonts w:asciiTheme="majorHAnsi" w:hAnsiTheme="majorHAnsi" w:cstheme="majorHAnsi"/>
          <w:sz w:val="20"/>
          <w:szCs w:val="20"/>
          <w:lang w:val="en-US" w:eastAsia="en-US" w:bidi="he-IL"/>
        </w:rPr>
      </w:pPr>
      <w:r w:rsidRPr="008957B0">
        <w:rPr>
          <w:rFonts w:asciiTheme="majorHAnsi" w:hAnsiTheme="majorHAnsi" w:cstheme="majorHAnsi"/>
          <w:sz w:val="20"/>
          <w:szCs w:val="20"/>
          <w:lang w:val="en-US" w:eastAsia="en-US" w:bidi="he-IL"/>
        </w:rPr>
        <w:t xml:space="preserve">Insurers are stewards of uncertainty: they identify, assess, measure, manage and transfer risks as their core business. Growing evidence shows that climate change is driving increased insured losses. Global insured losses from natural catastrophes have exceeded USD 100 billion for five consecutive years, reaching USD </w:t>
      </w:r>
      <w:r w:rsidR="009F51D3">
        <w:rPr>
          <w:rFonts w:asciiTheme="majorHAnsi" w:hAnsiTheme="majorHAnsi" w:cstheme="majorHAnsi"/>
          <w:sz w:val="20"/>
          <w:szCs w:val="20"/>
          <w:lang w:val="en-US" w:eastAsia="en-US" w:bidi="he-IL"/>
        </w:rPr>
        <w:t>137</w:t>
      </w:r>
      <w:r w:rsidRPr="008957B0">
        <w:rPr>
          <w:rFonts w:asciiTheme="majorHAnsi" w:hAnsiTheme="majorHAnsi" w:cstheme="majorHAnsi"/>
          <w:sz w:val="20"/>
          <w:szCs w:val="20"/>
          <w:lang w:val="en-US" w:eastAsia="en-US" w:bidi="he-IL"/>
        </w:rPr>
        <w:t xml:space="preserve"> billion in 2024.</w:t>
      </w:r>
      <w:r w:rsidR="00792D73">
        <w:rPr>
          <w:rStyle w:val="FootnoteReference"/>
          <w:rFonts w:asciiTheme="majorHAnsi" w:hAnsiTheme="majorHAnsi" w:cstheme="majorHAnsi"/>
          <w:sz w:val="20"/>
          <w:szCs w:val="20"/>
          <w:lang w:val="en-US" w:eastAsia="en-US" w:bidi="he-IL"/>
        </w:rPr>
        <w:footnoteReference w:id="2"/>
      </w:r>
      <w:r w:rsidR="003D62B3">
        <w:rPr>
          <w:rFonts w:asciiTheme="majorHAnsi" w:hAnsiTheme="majorHAnsi" w:cstheme="majorHAnsi"/>
          <w:sz w:val="20"/>
          <w:szCs w:val="20"/>
          <w:lang w:val="en-US" w:eastAsia="en-US" w:bidi="he-IL"/>
        </w:rPr>
        <w:t xml:space="preserve"> </w:t>
      </w:r>
      <w:r w:rsidRPr="008957B0">
        <w:rPr>
          <w:rFonts w:asciiTheme="majorHAnsi" w:hAnsiTheme="majorHAnsi" w:cstheme="majorHAnsi"/>
          <w:sz w:val="20"/>
          <w:szCs w:val="20"/>
          <w:lang w:val="en-US" w:eastAsia="en-US" w:bidi="he-IL"/>
        </w:rPr>
        <w:t>This confirms that climate-driven hazards are no longer a distant concern – they are now structurally reshaping the risk environment. Insurers are already observing elevated claim frequency and severity</w:t>
      </w:r>
      <w:r>
        <w:rPr>
          <w:rFonts w:asciiTheme="majorHAnsi" w:hAnsiTheme="majorHAnsi" w:cstheme="majorHAnsi"/>
          <w:sz w:val="20"/>
          <w:szCs w:val="20"/>
          <w:lang w:val="en-US" w:eastAsia="en-US" w:bidi="he-IL"/>
        </w:rPr>
        <w:t xml:space="preserve"> </w:t>
      </w:r>
      <w:r w:rsidRPr="008957B0">
        <w:rPr>
          <w:rFonts w:asciiTheme="majorHAnsi" w:hAnsiTheme="majorHAnsi" w:cstheme="majorHAnsi"/>
          <w:sz w:val="20"/>
          <w:szCs w:val="20"/>
          <w:lang w:val="en-US" w:eastAsia="en-US" w:bidi="he-IL"/>
        </w:rPr>
        <w:t>and are adjusting risk frameworks by incorporating forward-looking hazard projections and scenario-based views.</w:t>
      </w:r>
    </w:p>
    <w:p w14:paraId="101D064B" w14:textId="77777777" w:rsidR="008957B0" w:rsidRPr="008957B0" w:rsidRDefault="008957B0" w:rsidP="008957B0">
      <w:pPr>
        <w:jc w:val="both"/>
        <w:rPr>
          <w:rFonts w:asciiTheme="majorHAnsi" w:hAnsiTheme="majorHAnsi" w:cstheme="majorHAnsi"/>
          <w:sz w:val="20"/>
          <w:szCs w:val="20"/>
          <w:lang w:val="en-US" w:eastAsia="en-US" w:bidi="he-IL"/>
        </w:rPr>
      </w:pPr>
    </w:p>
    <w:p w14:paraId="6953D3B1" w14:textId="5303F04F" w:rsidR="008957B0" w:rsidRDefault="008957B0" w:rsidP="008957B0">
      <w:pPr>
        <w:jc w:val="both"/>
        <w:rPr>
          <w:rFonts w:asciiTheme="majorHAnsi" w:hAnsiTheme="majorHAnsi" w:cstheme="majorHAnsi"/>
          <w:sz w:val="20"/>
          <w:szCs w:val="20"/>
          <w:lang w:val="en-US" w:eastAsia="en-US" w:bidi="he-IL"/>
        </w:rPr>
      </w:pPr>
      <w:r w:rsidRPr="008957B0">
        <w:rPr>
          <w:rFonts w:asciiTheme="majorHAnsi" w:hAnsiTheme="majorHAnsi" w:cstheme="majorHAnsi"/>
          <w:sz w:val="20"/>
          <w:szCs w:val="20"/>
          <w:lang w:val="en-US" w:eastAsia="en-US" w:bidi="he-IL"/>
        </w:rPr>
        <w:t>At the same time, nature-loss and ecosystem degradation are accelerating. Approximately 55 % of global GDP – equivalent to around USD 58 trillion – depends moderately or highly on ecosystem services such as crop pollination, water quality regulation, carbon sequestration, temperature regulation and natural coastal protection.</w:t>
      </w:r>
      <w:r w:rsidR="00792D73">
        <w:rPr>
          <w:rStyle w:val="FootnoteReference"/>
          <w:rFonts w:asciiTheme="majorHAnsi" w:hAnsiTheme="majorHAnsi" w:cstheme="majorHAnsi"/>
          <w:sz w:val="20"/>
          <w:szCs w:val="20"/>
          <w:lang w:val="en-US" w:eastAsia="en-US" w:bidi="he-IL"/>
        </w:rPr>
        <w:footnoteReference w:id="3"/>
      </w:r>
      <w:r w:rsidRPr="008957B0">
        <w:rPr>
          <w:rFonts w:asciiTheme="majorHAnsi" w:hAnsiTheme="majorHAnsi" w:cstheme="majorHAnsi"/>
          <w:sz w:val="20"/>
          <w:szCs w:val="20"/>
          <w:lang w:val="en-US" w:eastAsia="en-US" w:bidi="he-IL"/>
        </w:rPr>
        <w:t xml:space="preserve"> Ecosystems therefore matter both as economic inputs and as protective natural infrastructure that buffers assets and communities from climatic shocks.</w:t>
      </w:r>
    </w:p>
    <w:p w14:paraId="11199535" w14:textId="77777777" w:rsidR="008957B0" w:rsidRPr="008957B0" w:rsidRDefault="008957B0" w:rsidP="008957B0">
      <w:pPr>
        <w:jc w:val="both"/>
        <w:rPr>
          <w:rFonts w:asciiTheme="majorHAnsi" w:hAnsiTheme="majorHAnsi" w:cstheme="majorHAnsi"/>
          <w:sz w:val="20"/>
          <w:szCs w:val="20"/>
          <w:lang w:val="en-US" w:eastAsia="en-US" w:bidi="he-IL"/>
        </w:rPr>
      </w:pPr>
    </w:p>
    <w:p w14:paraId="4FED2BC7" w14:textId="180D066A" w:rsidR="008957B0" w:rsidRDefault="008957B0" w:rsidP="008957B0">
      <w:pPr>
        <w:jc w:val="both"/>
        <w:rPr>
          <w:rFonts w:asciiTheme="majorHAnsi" w:hAnsiTheme="majorHAnsi" w:cstheme="majorHAnsi"/>
          <w:sz w:val="20"/>
          <w:szCs w:val="20"/>
          <w:lang w:val="en-US" w:eastAsia="en-US" w:bidi="he-IL"/>
        </w:rPr>
      </w:pPr>
      <w:r w:rsidRPr="008957B0">
        <w:rPr>
          <w:rFonts w:asciiTheme="majorHAnsi" w:hAnsiTheme="majorHAnsi" w:cstheme="majorHAnsi"/>
          <w:sz w:val="20"/>
          <w:szCs w:val="20"/>
          <w:lang w:val="en-US" w:eastAsia="en-US" w:bidi="he-IL"/>
        </w:rPr>
        <w:t>While attribution</w:t>
      </w:r>
      <w:r>
        <w:rPr>
          <w:rFonts w:asciiTheme="majorHAnsi" w:hAnsiTheme="majorHAnsi" w:cstheme="majorHAnsi"/>
          <w:sz w:val="20"/>
          <w:szCs w:val="20"/>
          <w:lang w:val="en-US" w:eastAsia="en-US" w:bidi="he-IL"/>
        </w:rPr>
        <w:t xml:space="preserve"> of nature-related risks</w:t>
      </w:r>
      <w:r w:rsidRPr="008957B0">
        <w:rPr>
          <w:rFonts w:asciiTheme="majorHAnsi" w:hAnsiTheme="majorHAnsi" w:cstheme="majorHAnsi"/>
          <w:sz w:val="20"/>
          <w:szCs w:val="20"/>
          <w:lang w:val="en-US" w:eastAsia="en-US" w:bidi="he-IL"/>
        </w:rPr>
        <w:t xml:space="preserve"> remains </w:t>
      </w:r>
      <w:r>
        <w:rPr>
          <w:rFonts w:asciiTheme="majorHAnsi" w:hAnsiTheme="majorHAnsi" w:cstheme="majorHAnsi"/>
          <w:sz w:val="20"/>
          <w:szCs w:val="20"/>
          <w:lang w:val="en-US" w:eastAsia="en-US" w:bidi="he-IL"/>
        </w:rPr>
        <w:t>limited</w:t>
      </w:r>
      <w:r w:rsidRPr="008957B0">
        <w:rPr>
          <w:rFonts w:asciiTheme="majorHAnsi" w:hAnsiTheme="majorHAnsi" w:cstheme="majorHAnsi"/>
          <w:sz w:val="20"/>
          <w:szCs w:val="20"/>
          <w:lang w:val="en-US" w:eastAsia="en-US" w:bidi="he-IL"/>
        </w:rPr>
        <w:t>, it is plausible that part of the observed rise in insured losses is linked to diminishing ecosystem protection. For example, the removal of wetlands or mangroves increases the severity of storm-surge losses; degraded forests elevate wildfire hazard; reduced soil health increases crop-vulnerability risk. The loss of ecosystem functions has implications across insurance business lines – including property, agricultural and business-interruption – and may also lead to stranded or uninsurable assets.</w:t>
      </w:r>
    </w:p>
    <w:p w14:paraId="7D17689A" w14:textId="77777777" w:rsidR="008957B0" w:rsidRPr="008957B0" w:rsidRDefault="008957B0" w:rsidP="008957B0">
      <w:pPr>
        <w:jc w:val="both"/>
        <w:rPr>
          <w:rFonts w:asciiTheme="majorHAnsi" w:hAnsiTheme="majorHAnsi" w:cstheme="majorHAnsi"/>
          <w:sz w:val="20"/>
          <w:szCs w:val="20"/>
          <w:lang w:val="en-US" w:eastAsia="en-US" w:bidi="he-IL"/>
        </w:rPr>
      </w:pPr>
    </w:p>
    <w:p w14:paraId="58B56282" w14:textId="77777777" w:rsidR="008957B0" w:rsidRDefault="008957B0" w:rsidP="008957B0">
      <w:pPr>
        <w:jc w:val="both"/>
        <w:rPr>
          <w:rFonts w:asciiTheme="majorHAnsi" w:hAnsiTheme="majorHAnsi" w:cstheme="majorHAnsi"/>
          <w:sz w:val="20"/>
          <w:szCs w:val="20"/>
          <w:lang w:val="en-US" w:eastAsia="en-US" w:bidi="he-IL"/>
        </w:rPr>
      </w:pPr>
      <w:r w:rsidRPr="008957B0">
        <w:rPr>
          <w:rFonts w:asciiTheme="majorHAnsi" w:hAnsiTheme="majorHAnsi" w:cstheme="majorHAnsi"/>
          <w:sz w:val="20"/>
          <w:szCs w:val="20"/>
          <w:lang w:val="en-US" w:eastAsia="en-US" w:bidi="he-IL"/>
        </w:rPr>
        <w:t xml:space="preserve">Nature-related risks are interconnected and dynamic. They may compound through ecological processes and propagate through supply chains and value chains, affecting upstream and downstream exposures long before damage manifests at insured locations. Moreover, these risks can exhibit systemic characteristics: where nature-linked exposures cluster regionally or </w:t>
      </w:r>
      <w:proofErr w:type="spellStart"/>
      <w:r w:rsidRPr="008957B0">
        <w:rPr>
          <w:rFonts w:asciiTheme="majorHAnsi" w:hAnsiTheme="majorHAnsi" w:cstheme="majorHAnsi"/>
          <w:sz w:val="20"/>
          <w:szCs w:val="20"/>
          <w:lang w:val="en-US" w:eastAsia="en-US" w:bidi="he-IL"/>
        </w:rPr>
        <w:t>sectorally</w:t>
      </w:r>
      <w:proofErr w:type="spellEnd"/>
      <w:r w:rsidRPr="008957B0">
        <w:rPr>
          <w:rFonts w:asciiTheme="majorHAnsi" w:hAnsiTheme="majorHAnsi" w:cstheme="majorHAnsi"/>
          <w:sz w:val="20"/>
          <w:szCs w:val="20"/>
          <w:lang w:val="en-US" w:eastAsia="en-US" w:bidi="he-IL"/>
        </w:rPr>
        <w:t>, risk-pooling effectiveness may erode, potential loss correlations increase, and portfolio diversification benefits weaken.</w:t>
      </w:r>
    </w:p>
    <w:p w14:paraId="441F8039" w14:textId="77777777" w:rsidR="008957B0" w:rsidRPr="008957B0" w:rsidRDefault="008957B0" w:rsidP="008957B0">
      <w:pPr>
        <w:jc w:val="both"/>
        <w:rPr>
          <w:rFonts w:asciiTheme="majorHAnsi" w:hAnsiTheme="majorHAnsi" w:cstheme="majorHAnsi"/>
          <w:sz w:val="20"/>
          <w:szCs w:val="20"/>
          <w:lang w:val="en-US" w:eastAsia="en-US" w:bidi="he-IL"/>
        </w:rPr>
      </w:pPr>
    </w:p>
    <w:p w14:paraId="4672AF68" w14:textId="4C6EDAF6" w:rsidR="008957B0" w:rsidRDefault="008957B0" w:rsidP="008957B0">
      <w:pPr>
        <w:jc w:val="both"/>
        <w:rPr>
          <w:rFonts w:asciiTheme="majorHAnsi" w:hAnsiTheme="majorHAnsi" w:cstheme="majorHAnsi"/>
          <w:sz w:val="20"/>
          <w:szCs w:val="20"/>
          <w:lang w:val="en-US" w:eastAsia="en-US" w:bidi="he-IL"/>
        </w:rPr>
      </w:pPr>
      <w:r w:rsidRPr="008957B0">
        <w:rPr>
          <w:rFonts w:asciiTheme="majorHAnsi" w:hAnsiTheme="majorHAnsi" w:cstheme="majorHAnsi"/>
          <w:sz w:val="20"/>
          <w:szCs w:val="20"/>
          <w:lang w:val="en-US" w:eastAsia="en-US" w:bidi="he-IL"/>
        </w:rPr>
        <w:t>Ecosystem tipping points may trigger globally significant consequences – changing both frequency and severity of extreme events, altering hazard baselines and impairing diversification advantages that insurers historically relied upon. When protective ecosystems or production systems collapse, entire regions may become economically marginal or uninsurable. Nature-loss may also drive broader macro-financial impacts that cross national and sectoral boundaries, with feedback loops emerging between ecological deterioration, real-economy shocks, insurance sector losses and potential financial-stability implications.</w:t>
      </w:r>
      <w:r w:rsidR="00792D73">
        <w:rPr>
          <w:rStyle w:val="FootnoteReference"/>
          <w:rFonts w:asciiTheme="majorHAnsi" w:hAnsiTheme="majorHAnsi" w:cstheme="majorHAnsi"/>
          <w:sz w:val="20"/>
          <w:szCs w:val="20"/>
          <w:lang w:val="en-US" w:eastAsia="en-US" w:bidi="he-IL"/>
        </w:rPr>
        <w:footnoteReference w:id="4"/>
      </w:r>
    </w:p>
    <w:p w14:paraId="331C1BD7" w14:textId="77777777" w:rsidR="006F6A7B" w:rsidRPr="008F2580" w:rsidRDefault="006F6A7B" w:rsidP="00023BF0">
      <w:pPr>
        <w:rPr>
          <w:rFonts w:asciiTheme="majorHAnsi" w:hAnsiTheme="majorHAnsi" w:cstheme="majorHAnsi"/>
          <w:sz w:val="20"/>
          <w:szCs w:val="20"/>
          <w:lang w:val="en-US" w:eastAsia="en-US" w:bidi="he-IL"/>
        </w:rPr>
      </w:pPr>
    </w:p>
    <w:p w14:paraId="5864CB10" w14:textId="533AD380" w:rsidR="009A273A" w:rsidRPr="008F2580" w:rsidRDefault="00EF5DC1" w:rsidP="002C7DFB">
      <w:pPr>
        <w:pStyle w:val="Heading2"/>
        <w:rPr>
          <w:lang w:val="en-US"/>
        </w:rPr>
      </w:pPr>
      <w:bookmarkStart w:id="2" w:name="_Toc214867625"/>
      <w:r>
        <w:rPr>
          <w:lang w:val="en-US"/>
        </w:rPr>
        <w:t>The Unpriced Risk</w:t>
      </w:r>
      <w:bookmarkEnd w:id="2"/>
    </w:p>
    <w:p w14:paraId="2DCF1B5A" w14:textId="77777777" w:rsidR="00EF1787" w:rsidRDefault="00EF1787" w:rsidP="00EF1787">
      <w:pPr>
        <w:jc w:val="both"/>
        <w:rPr>
          <w:rFonts w:asciiTheme="majorHAnsi" w:hAnsiTheme="majorHAnsi" w:cstheme="majorHAnsi"/>
          <w:sz w:val="20"/>
          <w:szCs w:val="20"/>
          <w:lang w:val="en-US" w:eastAsia="en-US" w:bidi="he-IL"/>
        </w:rPr>
      </w:pPr>
    </w:p>
    <w:p w14:paraId="7D590CCE" w14:textId="07A72899" w:rsidR="00EF1787" w:rsidRDefault="00792D73" w:rsidP="00EF1787">
      <w:pPr>
        <w:jc w:val="both"/>
        <w:rPr>
          <w:rFonts w:asciiTheme="majorHAnsi" w:hAnsiTheme="majorHAnsi" w:cstheme="majorHAnsi"/>
          <w:sz w:val="20"/>
          <w:szCs w:val="20"/>
          <w:lang w:val="en-US" w:eastAsia="en-US" w:bidi="he-IL"/>
        </w:rPr>
      </w:pPr>
      <w:r w:rsidRPr="00792D73">
        <w:rPr>
          <w:rFonts w:asciiTheme="majorHAnsi" w:hAnsiTheme="majorHAnsi" w:cstheme="majorHAnsi"/>
          <w:sz w:val="20"/>
          <w:szCs w:val="20"/>
          <w:lang w:val="en-US" w:eastAsia="en-US" w:bidi="he-IL"/>
        </w:rPr>
        <w:t xml:space="preserve">Evidence is advancing, and recognition is growing that nature-loss can create financially material impacts for businesses </w:t>
      </w:r>
      <w:r w:rsidRPr="008957B0">
        <w:rPr>
          <w:rFonts w:asciiTheme="majorHAnsi" w:hAnsiTheme="majorHAnsi" w:cstheme="majorHAnsi"/>
          <w:sz w:val="20"/>
          <w:szCs w:val="20"/>
          <w:lang w:val="en-US" w:eastAsia="en-US" w:bidi="he-IL"/>
        </w:rPr>
        <w:t>–</w:t>
      </w:r>
      <w:r w:rsidRPr="00792D73">
        <w:rPr>
          <w:rFonts w:asciiTheme="majorHAnsi" w:hAnsiTheme="majorHAnsi" w:cstheme="majorHAnsi"/>
          <w:sz w:val="20"/>
          <w:szCs w:val="20"/>
          <w:lang w:val="en-US" w:eastAsia="en-US" w:bidi="he-IL"/>
        </w:rPr>
        <w:t xml:space="preserve"> and therefore for insurers and the wider financial sector</w:t>
      </w:r>
      <w:r>
        <w:rPr>
          <w:rFonts w:asciiTheme="majorHAnsi" w:hAnsiTheme="majorHAnsi" w:cstheme="majorHAnsi"/>
          <w:sz w:val="20"/>
          <w:szCs w:val="20"/>
          <w:lang w:val="en-US" w:eastAsia="en-US" w:bidi="he-IL"/>
        </w:rPr>
        <w:t>.</w:t>
      </w:r>
      <w:r>
        <w:rPr>
          <w:rStyle w:val="FootnoteReference"/>
          <w:rFonts w:asciiTheme="majorHAnsi" w:hAnsiTheme="majorHAnsi" w:cstheme="majorHAnsi"/>
          <w:sz w:val="20"/>
          <w:szCs w:val="20"/>
          <w:lang w:val="en-US" w:eastAsia="en-US" w:bidi="he-IL"/>
        </w:rPr>
        <w:footnoteReference w:id="5"/>
      </w:r>
      <w:r w:rsidRPr="00792D73">
        <w:rPr>
          <w:rFonts w:asciiTheme="majorHAnsi" w:hAnsiTheme="majorHAnsi" w:cstheme="majorHAnsi"/>
          <w:sz w:val="20"/>
          <w:szCs w:val="20"/>
          <w:lang w:val="en-US" w:eastAsia="en-US" w:bidi="he-IL"/>
        </w:rPr>
        <w:t xml:space="preserve"> At the same time, intact ecosystems are increasingly understood as critical natural infrastructure that can reduce the severity and frequency of climate-related losses.</w:t>
      </w:r>
      <w:r>
        <w:rPr>
          <w:rFonts w:asciiTheme="majorHAnsi" w:hAnsiTheme="majorHAnsi" w:cstheme="majorHAnsi"/>
          <w:sz w:val="20"/>
          <w:szCs w:val="20"/>
          <w:lang w:val="en-US" w:eastAsia="en-US" w:bidi="he-IL"/>
        </w:rPr>
        <w:t xml:space="preserve"> </w:t>
      </w:r>
      <w:r w:rsidR="00EF1787" w:rsidRPr="00EF1787">
        <w:rPr>
          <w:rFonts w:asciiTheme="majorHAnsi" w:hAnsiTheme="majorHAnsi" w:cstheme="majorHAnsi"/>
          <w:sz w:val="20"/>
          <w:szCs w:val="20"/>
          <w:lang w:val="en-US" w:eastAsia="en-US" w:bidi="he-IL"/>
        </w:rPr>
        <w:t>However, ecosystem considerations have not yet been systematically incorporated into insurers’ risk-management frameworks or underwriting frameworks.</w:t>
      </w:r>
    </w:p>
    <w:p w14:paraId="751B22AA" w14:textId="77777777" w:rsidR="00DE5BE8" w:rsidRPr="00EF1787" w:rsidRDefault="00DE5BE8" w:rsidP="00EF1787">
      <w:pPr>
        <w:jc w:val="both"/>
        <w:rPr>
          <w:rFonts w:asciiTheme="majorHAnsi" w:hAnsiTheme="majorHAnsi" w:cstheme="majorHAnsi"/>
          <w:sz w:val="20"/>
          <w:szCs w:val="20"/>
          <w:lang w:val="en-US" w:eastAsia="en-US" w:bidi="he-IL"/>
        </w:rPr>
      </w:pPr>
    </w:p>
    <w:p w14:paraId="18FBAA86" w14:textId="62940F95" w:rsidR="00EF1787" w:rsidRDefault="00792D73" w:rsidP="00EF1787">
      <w:pPr>
        <w:jc w:val="both"/>
        <w:rPr>
          <w:rFonts w:asciiTheme="majorHAnsi" w:hAnsiTheme="majorHAnsi" w:cstheme="majorHAnsi"/>
          <w:sz w:val="20"/>
          <w:szCs w:val="20"/>
          <w:lang w:val="en-US" w:eastAsia="en-US" w:bidi="he-IL"/>
        </w:rPr>
      </w:pPr>
      <w:r w:rsidRPr="00792D73">
        <w:rPr>
          <w:rFonts w:asciiTheme="majorHAnsi" w:hAnsiTheme="majorHAnsi" w:cstheme="majorHAnsi"/>
          <w:sz w:val="20"/>
          <w:szCs w:val="20"/>
          <w:lang w:val="en-US" w:eastAsia="en-US" w:bidi="he-IL"/>
        </w:rPr>
        <w:lastRenderedPageBreak/>
        <w:t xml:space="preserve">Members of the PSI Working Group for Nature have begun to examine nature-related dependencies, impacts, </w:t>
      </w:r>
      <w:proofErr w:type="gramStart"/>
      <w:r w:rsidRPr="00792D73">
        <w:rPr>
          <w:rFonts w:asciiTheme="majorHAnsi" w:hAnsiTheme="majorHAnsi" w:cstheme="majorHAnsi"/>
          <w:sz w:val="20"/>
          <w:szCs w:val="20"/>
          <w:lang w:val="en-US" w:eastAsia="en-US" w:bidi="he-IL"/>
        </w:rPr>
        <w:t>risks</w:t>
      </w:r>
      <w:proofErr w:type="gramEnd"/>
      <w:r w:rsidRPr="00792D73">
        <w:rPr>
          <w:rFonts w:asciiTheme="majorHAnsi" w:hAnsiTheme="majorHAnsi" w:cstheme="majorHAnsi"/>
          <w:sz w:val="20"/>
          <w:szCs w:val="20"/>
          <w:lang w:val="en-US" w:eastAsia="en-US" w:bidi="he-IL"/>
        </w:rPr>
        <w:t xml:space="preserve"> and opportunities within their underwriting portfolios. These initial efforts represent an important early step in accelerating understanding and building internal awareness.</w:t>
      </w:r>
    </w:p>
    <w:p w14:paraId="1A7DA7C7" w14:textId="77777777" w:rsidR="00792D73" w:rsidRDefault="00792D73" w:rsidP="00EF1787">
      <w:pPr>
        <w:jc w:val="both"/>
        <w:rPr>
          <w:rFonts w:asciiTheme="majorHAnsi" w:hAnsiTheme="majorHAnsi" w:cstheme="majorHAnsi"/>
          <w:sz w:val="20"/>
          <w:szCs w:val="20"/>
          <w:lang w:val="en-US" w:eastAsia="en-US" w:bidi="he-IL"/>
        </w:rPr>
      </w:pPr>
    </w:p>
    <w:p w14:paraId="09C99C5E" w14:textId="5BA824D5" w:rsidR="00EF1787" w:rsidRDefault="00EF1787" w:rsidP="00EF1787">
      <w:pPr>
        <w:jc w:val="both"/>
        <w:rPr>
          <w:rFonts w:asciiTheme="majorHAnsi" w:hAnsiTheme="majorHAnsi" w:cstheme="majorHAnsi"/>
          <w:sz w:val="20"/>
          <w:szCs w:val="20"/>
          <w:lang w:val="en-US" w:eastAsia="en-US" w:bidi="he-IL"/>
        </w:rPr>
      </w:pPr>
      <w:r w:rsidRPr="00EF1787">
        <w:rPr>
          <w:rFonts w:asciiTheme="majorHAnsi" w:hAnsiTheme="majorHAnsi" w:cstheme="majorHAnsi"/>
          <w:sz w:val="20"/>
          <w:szCs w:val="20"/>
          <w:lang w:val="en-US" w:eastAsia="en-US" w:bidi="he-IL"/>
        </w:rPr>
        <w:t>However, while some progress has been made, especially in initial assessments, many such exercises remain qualitative, rely on proxy data, lack geospatial specificity and are not forward-looking. They predominantly serve priorit</w:t>
      </w:r>
      <w:r>
        <w:rPr>
          <w:rFonts w:asciiTheme="majorHAnsi" w:hAnsiTheme="majorHAnsi" w:cstheme="majorHAnsi"/>
          <w:sz w:val="20"/>
          <w:szCs w:val="20"/>
          <w:lang w:val="en-US" w:eastAsia="en-US" w:bidi="he-IL"/>
        </w:rPr>
        <w:t>iza</w:t>
      </w:r>
      <w:r w:rsidRPr="00EF1787">
        <w:rPr>
          <w:rFonts w:asciiTheme="majorHAnsi" w:hAnsiTheme="majorHAnsi" w:cstheme="majorHAnsi"/>
          <w:sz w:val="20"/>
          <w:szCs w:val="20"/>
          <w:lang w:val="en-US" w:eastAsia="en-US" w:bidi="he-IL"/>
        </w:rPr>
        <w:t>tion and disclosure purposes rather than being embedded in underwriting practice. Risk-assessment approaches for specific insured assets, locations or ecosystems are still emerging, often limited to niche product solutions. Moreover, integration into existing risk-models (such as catastrophe models) or development of new risk-models tailored to emerging nature-related risks remains constrained by knowledge gaps, absence of standardi</w:t>
      </w:r>
      <w:r>
        <w:rPr>
          <w:rFonts w:asciiTheme="majorHAnsi" w:hAnsiTheme="majorHAnsi" w:cstheme="majorHAnsi"/>
          <w:sz w:val="20"/>
          <w:szCs w:val="20"/>
          <w:lang w:val="en-US" w:eastAsia="en-US" w:bidi="he-IL"/>
        </w:rPr>
        <w:t>z</w:t>
      </w:r>
      <w:r w:rsidRPr="00EF1787">
        <w:rPr>
          <w:rFonts w:asciiTheme="majorHAnsi" w:hAnsiTheme="majorHAnsi" w:cstheme="majorHAnsi"/>
          <w:sz w:val="20"/>
          <w:szCs w:val="20"/>
          <w:lang w:val="en-US" w:eastAsia="en-US" w:bidi="he-IL"/>
        </w:rPr>
        <w:t xml:space="preserve">ed methodologies, inadequate granularity of data and insufficient forward-looking scenarios and data for </w:t>
      </w:r>
      <w:r w:rsidRPr="00792D73">
        <w:rPr>
          <w:rFonts w:asciiTheme="majorHAnsi" w:hAnsiTheme="majorHAnsi" w:cstheme="majorHAnsi"/>
          <w:sz w:val="20"/>
          <w:szCs w:val="20"/>
          <w:lang w:val="en-US" w:eastAsia="en-US" w:bidi="he-IL"/>
        </w:rPr>
        <w:t>insurers.</w:t>
      </w:r>
      <w:r w:rsidR="00792D73" w:rsidRPr="00792D73">
        <w:rPr>
          <w:rStyle w:val="FootnoteReference"/>
          <w:rFonts w:asciiTheme="majorHAnsi" w:hAnsiTheme="majorHAnsi" w:cstheme="majorHAnsi"/>
          <w:sz w:val="20"/>
          <w:szCs w:val="20"/>
          <w:lang w:val="en-US" w:eastAsia="en-US" w:bidi="he-IL"/>
        </w:rPr>
        <w:footnoteReference w:id="6"/>
      </w:r>
    </w:p>
    <w:p w14:paraId="091C4AC0" w14:textId="77777777" w:rsidR="005156CF" w:rsidRPr="00EF1787" w:rsidRDefault="005156CF" w:rsidP="00EF1787">
      <w:pPr>
        <w:jc w:val="both"/>
        <w:rPr>
          <w:rFonts w:asciiTheme="majorHAnsi" w:hAnsiTheme="majorHAnsi" w:cstheme="majorHAnsi"/>
          <w:sz w:val="20"/>
          <w:szCs w:val="20"/>
          <w:lang w:val="en-US" w:eastAsia="en-US" w:bidi="he-IL"/>
        </w:rPr>
      </w:pPr>
    </w:p>
    <w:p w14:paraId="58C011B6" w14:textId="0CF3B002" w:rsidR="00EF1787" w:rsidRDefault="00EF1787" w:rsidP="00EF1787">
      <w:pPr>
        <w:jc w:val="both"/>
        <w:rPr>
          <w:rFonts w:asciiTheme="majorHAnsi" w:hAnsiTheme="majorHAnsi" w:cstheme="majorHAnsi"/>
          <w:sz w:val="20"/>
          <w:szCs w:val="20"/>
          <w:lang w:val="en-US" w:eastAsia="en-US" w:bidi="he-IL"/>
        </w:rPr>
      </w:pPr>
      <w:r w:rsidRPr="00EF1787">
        <w:rPr>
          <w:rFonts w:asciiTheme="majorHAnsi" w:hAnsiTheme="majorHAnsi" w:cstheme="majorHAnsi"/>
          <w:sz w:val="20"/>
          <w:szCs w:val="20"/>
          <w:lang w:val="en-US" w:eastAsia="en-US" w:bidi="he-IL"/>
        </w:rPr>
        <w:t>Embedding these considerations into the core of underwriting</w:t>
      </w:r>
      <w:r w:rsidR="00792D73">
        <w:rPr>
          <w:rFonts w:asciiTheme="majorHAnsi" w:hAnsiTheme="majorHAnsi" w:cstheme="majorHAnsi"/>
          <w:sz w:val="20"/>
          <w:szCs w:val="20"/>
          <w:lang w:val="en-US" w:eastAsia="en-US" w:bidi="he-IL"/>
        </w:rPr>
        <w:t xml:space="preserve"> </w:t>
      </w:r>
      <w:r w:rsidR="00792D73" w:rsidRPr="008957B0">
        <w:rPr>
          <w:rFonts w:asciiTheme="majorHAnsi" w:hAnsiTheme="majorHAnsi" w:cstheme="majorHAnsi"/>
          <w:sz w:val="20"/>
          <w:szCs w:val="20"/>
          <w:lang w:val="en-US" w:eastAsia="en-US" w:bidi="he-IL"/>
        </w:rPr>
        <w:t>–</w:t>
      </w:r>
      <w:r w:rsidR="00792D73">
        <w:rPr>
          <w:rFonts w:asciiTheme="majorHAnsi" w:hAnsiTheme="majorHAnsi" w:cstheme="majorHAnsi"/>
          <w:sz w:val="20"/>
          <w:szCs w:val="20"/>
          <w:lang w:val="en-US" w:eastAsia="en-US" w:bidi="he-IL"/>
        </w:rPr>
        <w:t xml:space="preserve"> </w:t>
      </w:r>
      <w:r w:rsidRPr="00EF1787">
        <w:rPr>
          <w:rFonts w:asciiTheme="majorHAnsi" w:hAnsiTheme="majorHAnsi" w:cstheme="majorHAnsi"/>
          <w:sz w:val="20"/>
          <w:szCs w:val="20"/>
          <w:lang w:val="en-US" w:eastAsia="en-US" w:bidi="he-IL"/>
        </w:rPr>
        <w:t>such as in risk screening, risk-acceptance criteria, product structuring or pricing</w:t>
      </w:r>
      <w:r w:rsidR="00792D73">
        <w:rPr>
          <w:rFonts w:asciiTheme="majorHAnsi" w:hAnsiTheme="majorHAnsi" w:cstheme="majorHAnsi"/>
          <w:sz w:val="20"/>
          <w:szCs w:val="20"/>
          <w:lang w:val="en-US" w:eastAsia="en-US" w:bidi="he-IL"/>
        </w:rPr>
        <w:t xml:space="preserve"> </w:t>
      </w:r>
      <w:r w:rsidR="00792D73" w:rsidRPr="008957B0">
        <w:rPr>
          <w:rFonts w:asciiTheme="majorHAnsi" w:hAnsiTheme="majorHAnsi" w:cstheme="majorHAnsi"/>
          <w:sz w:val="20"/>
          <w:szCs w:val="20"/>
          <w:lang w:val="en-US" w:eastAsia="en-US" w:bidi="he-IL"/>
        </w:rPr>
        <w:t>–</w:t>
      </w:r>
      <w:r w:rsidR="00792D73">
        <w:rPr>
          <w:rFonts w:asciiTheme="majorHAnsi" w:hAnsiTheme="majorHAnsi" w:cstheme="majorHAnsi"/>
          <w:sz w:val="20"/>
          <w:szCs w:val="20"/>
          <w:lang w:val="en-US" w:eastAsia="en-US" w:bidi="he-IL"/>
        </w:rPr>
        <w:t xml:space="preserve"> </w:t>
      </w:r>
      <w:r w:rsidRPr="00EF1787">
        <w:rPr>
          <w:rFonts w:asciiTheme="majorHAnsi" w:hAnsiTheme="majorHAnsi" w:cstheme="majorHAnsi"/>
          <w:sz w:val="20"/>
          <w:szCs w:val="20"/>
          <w:lang w:val="en-US" w:eastAsia="en-US" w:bidi="he-IL"/>
        </w:rPr>
        <w:t>is similarly limited. At the same time, nature-related risks present opportunities: insurers can create incentives, build understanding of risks with customers, collaborate on risk reduction and open new avenues to provide protection for their business clients.</w:t>
      </w:r>
    </w:p>
    <w:p w14:paraId="4620B5A4" w14:textId="77777777" w:rsidR="00792D73" w:rsidRDefault="00792D73" w:rsidP="00EF1787">
      <w:pPr>
        <w:jc w:val="both"/>
        <w:rPr>
          <w:rFonts w:asciiTheme="majorHAnsi" w:hAnsiTheme="majorHAnsi" w:cstheme="majorHAnsi"/>
          <w:sz w:val="20"/>
          <w:szCs w:val="20"/>
          <w:lang w:val="en-US" w:eastAsia="en-US" w:bidi="he-IL"/>
        </w:rPr>
      </w:pPr>
    </w:p>
    <w:p w14:paraId="478FD0DE" w14:textId="66C3361D" w:rsidR="00792D73" w:rsidRDefault="00792D73" w:rsidP="00EF1787">
      <w:pPr>
        <w:jc w:val="both"/>
        <w:rPr>
          <w:rFonts w:asciiTheme="majorHAnsi" w:hAnsiTheme="majorHAnsi" w:cstheme="majorHAnsi"/>
          <w:sz w:val="20"/>
          <w:szCs w:val="20"/>
          <w:lang w:val="en-US" w:eastAsia="en-US" w:bidi="he-IL"/>
        </w:rPr>
      </w:pPr>
      <w:r w:rsidRPr="00792D73">
        <w:rPr>
          <w:rFonts w:asciiTheme="majorHAnsi" w:hAnsiTheme="majorHAnsi" w:cstheme="majorHAnsi"/>
          <w:sz w:val="20"/>
          <w:szCs w:val="20"/>
          <w:lang w:val="en-US" w:eastAsia="en-US" w:bidi="he-IL"/>
        </w:rPr>
        <w:t xml:space="preserve">And as nature-related risks are interconnected and dynamic, they cannot be assessed solely in isolation or </w:t>
      </w:r>
      <w:r w:rsidRPr="00792D73">
        <w:rPr>
          <w:rFonts w:asciiTheme="majorHAnsi" w:hAnsiTheme="majorHAnsi" w:cstheme="majorHAnsi"/>
          <w:sz w:val="20"/>
          <w:szCs w:val="20"/>
          <w:lang w:val="en-US" w:eastAsia="en-US" w:bidi="he-IL"/>
        </w:rPr>
        <w:t>localized</w:t>
      </w:r>
      <w:r w:rsidRPr="00792D73">
        <w:rPr>
          <w:rFonts w:asciiTheme="majorHAnsi" w:hAnsiTheme="majorHAnsi" w:cstheme="majorHAnsi"/>
          <w:sz w:val="20"/>
          <w:szCs w:val="20"/>
          <w:lang w:val="en-US" w:eastAsia="en-US" w:bidi="he-IL"/>
        </w:rPr>
        <w:t xml:space="preserve"> to individual underwriting decisions or guidelines for specific risk locations. Current modelling tools </w:t>
      </w:r>
      <w:r w:rsidRPr="008957B0">
        <w:rPr>
          <w:rFonts w:asciiTheme="majorHAnsi" w:hAnsiTheme="majorHAnsi" w:cstheme="majorHAnsi"/>
          <w:sz w:val="20"/>
          <w:szCs w:val="20"/>
          <w:lang w:val="en-US" w:eastAsia="en-US" w:bidi="he-IL"/>
        </w:rPr>
        <w:t>–</w:t>
      </w:r>
      <w:r w:rsidRPr="00792D73">
        <w:rPr>
          <w:rFonts w:asciiTheme="majorHAnsi" w:hAnsiTheme="majorHAnsi" w:cstheme="majorHAnsi"/>
          <w:sz w:val="20"/>
          <w:szCs w:val="20"/>
          <w:lang w:val="en-US" w:eastAsia="en-US" w:bidi="he-IL"/>
        </w:rPr>
        <w:t xml:space="preserve"> particularly hazard models </w:t>
      </w:r>
      <w:r w:rsidRPr="008957B0">
        <w:rPr>
          <w:rFonts w:asciiTheme="majorHAnsi" w:hAnsiTheme="majorHAnsi" w:cstheme="majorHAnsi"/>
          <w:sz w:val="20"/>
          <w:szCs w:val="20"/>
          <w:lang w:val="en-US" w:eastAsia="en-US" w:bidi="he-IL"/>
        </w:rPr>
        <w:t>–</w:t>
      </w:r>
      <w:r w:rsidRPr="00792D73">
        <w:rPr>
          <w:rFonts w:asciiTheme="majorHAnsi" w:hAnsiTheme="majorHAnsi" w:cstheme="majorHAnsi"/>
          <w:sz w:val="20"/>
          <w:szCs w:val="20"/>
          <w:lang w:val="en-US" w:eastAsia="en-US" w:bidi="he-IL"/>
        </w:rPr>
        <w:t xml:space="preserve"> largely capture static, location-based exposures but do not reflect ecological interdependencies or how risks can propagate </w:t>
      </w:r>
      <w:r>
        <w:rPr>
          <w:rFonts w:asciiTheme="majorHAnsi" w:hAnsiTheme="majorHAnsi" w:cstheme="majorHAnsi"/>
          <w:sz w:val="20"/>
          <w:szCs w:val="20"/>
          <w:lang w:val="en-US" w:eastAsia="en-US" w:bidi="he-IL"/>
        </w:rPr>
        <w:t xml:space="preserve">under different scenarios </w:t>
      </w:r>
      <w:r w:rsidRPr="00792D73">
        <w:rPr>
          <w:rFonts w:asciiTheme="majorHAnsi" w:hAnsiTheme="majorHAnsi" w:cstheme="majorHAnsi"/>
          <w:sz w:val="20"/>
          <w:szCs w:val="20"/>
          <w:lang w:val="en-US" w:eastAsia="en-US" w:bidi="he-IL"/>
        </w:rPr>
        <w:t xml:space="preserve">through natural systems </w:t>
      </w:r>
      <w:r>
        <w:rPr>
          <w:rFonts w:asciiTheme="majorHAnsi" w:hAnsiTheme="majorHAnsi" w:cstheme="majorHAnsi"/>
          <w:sz w:val="20"/>
          <w:szCs w:val="20"/>
          <w:lang w:val="en-US" w:eastAsia="en-US" w:bidi="he-IL"/>
        </w:rPr>
        <w:t>or cascade through</w:t>
      </w:r>
      <w:r w:rsidRPr="00792D73">
        <w:rPr>
          <w:rFonts w:asciiTheme="majorHAnsi" w:hAnsiTheme="majorHAnsi" w:cstheme="majorHAnsi"/>
          <w:sz w:val="20"/>
          <w:szCs w:val="20"/>
          <w:lang w:val="en-US" w:eastAsia="en-US" w:bidi="he-IL"/>
        </w:rPr>
        <w:t xml:space="preserve"> </w:t>
      </w:r>
      <w:r>
        <w:rPr>
          <w:rFonts w:asciiTheme="majorHAnsi" w:hAnsiTheme="majorHAnsi" w:cstheme="majorHAnsi"/>
          <w:sz w:val="20"/>
          <w:szCs w:val="20"/>
          <w:lang w:val="en-US" w:eastAsia="en-US" w:bidi="he-IL"/>
        </w:rPr>
        <w:t>value</w:t>
      </w:r>
      <w:r w:rsidRPr="00792D73">
        <w:rPr>
          <w:rFonts w:asciiTheme="majorHAnsi" w:hAnsiTheme="majorHAnsi" w:cstheme="majorHAnsi"/>
          <w:sz w:val="20"/>
          <w:szCs w:val="20"/>
          <w:lang w:val="en-US" w:eastAsia="en-US" w:bidi="he-IL"/>
        </w:rPr>
        <w:t xml:space="preserve"> chains.</w:t>
      </w:r>
    </w:p>
    <w:p w14:paraId="539979EF" w14:textId="77777777" w:rsidR="00792D73" w:rsidRDefault="00792D73" w:rsidP="00EF1787">
      <w:pPr>
        <w:jc w:val="both"/>
        <w:rPr>
          <w:rFonts w:asciiTheme="majorHAnsi" w:hAnsiTheme="majorHAnsi" w:cstheme="majorHAnsi"/>
          <w:sz w:val="20"/>
          <w:szCs w:val="20"/>
          <w:lang w:val="en-US" w:eastAsia="en-US" w:bidi="he-IL"/>
        </w:rPr>
      </w:pPr>
    </w:p>
    <w:p w14:paraId="7AF1E79A" w14:textId="76AD2433" w:rsidR="005156CF" w:rsidRDefault="00792D73" w:rsidP="00EF1787">
      <w:pPr>
        <w:jc w:val="both"/>
        <w:rPr>
          <w:rFonts w:asciiTheme="majorHAnsi" w:hAnsiTheme="majorHAnsi" w:cstheme="majorHAnsi"/>
          <w:sz w:val="20"/>
          <w:szCs w:val="20"/>
          <w:lang w:val="en-US" w:eastAsia="en-US" w:bidi="he-IL"/>
        </w:rPr>
      </w:pPr>
      <w:r w:rsidRPr="00792D73">
        <w:rPr>
          <w:rFonts w:asciiTheme="majorHAnsi" w:hAnsiTheme="majorHAnsi" w:cstheme="majorHAnsi"/>
          <w:sz w:val="20"/>
          <w:szCs w:val="20"/>
          <w:lang w:val="en-US" w:eastAsia="en-US" w:bidi="he-IL"/>
        </w:rPr>
        <w:t xml:space="preserve">This limitation becomes especially critical where systemic dimensions emerge </w:t>
      </w:r>
      <w:r w:rsidRPr="008957B0">
        <w:rPr>
          <w:rFonts w:asciiTheme="majorHAnsi" w:hAnsiTheme="majorHAnsi" w:cstheme="majorHAnsi"/>
          <w:sz w:val="20"/>
          <w:szCs w:val="20"/>
          <w:lang w:val="en-US" w:eastAsia="en-US" w:bidi="he-IL"/>
        </w:rPr>
        <w:t>–</w:t>
      </w:r>
      <w:r w:rsidRPr="00792D73">
        <w:rPr>
          <w:rFonts w:asciiTheme="majorHAnsi" w:hAnsiTheme="majorHAnsi" w:cstheme="majorHAnsi"/>
          <w:sz w:val="20"/>
          <w:szCs w:val="20"/>
          <w:lang w:val="en-US" w:eastAsia="en-US" w:bidi="he-IL"/>
        </w:rPr>
        <w:t xml:space="preserve"> for example in cases of widespread ecosystem collapse or macro-economic effects driven by nature-loss. Such complexity remains significantly under-explored within the insurance sector, yet it has direct relevance for financial stability, portfolio-wide risk-management and concentration risk in non-life underwriting. These circumstances require portfolio-level perspectives, forward-looking ecosystem scenarios and approaches that assess correlated exposures rather than solely isolated risks.</w:t>
      </w:r>
    </w:p>
    <w:p w14:paraId="0743D782" w14:textId="77777777" w:rsidR="00792D73" w:rsidRPr="00EF1787" w:rsidRDefault="00792D73" w:rsidP="00EF1787">
      <w:pPr>
        <w:jc w:val="both"/>
        <w:rPr>
          <w:rFonts w:asciiTheme="majorHAnsi" w:hAnsiTheme="majorHAnsi" w:cstheme="majorHAnsi"/>
          <w:sz w:val="20"/>
          <w:szCs w:val="20"/>
          <w:lang w:val="en-US" w:eastAsia="en-US" w:bidi="he-IL"/>
        </w:rPr>
      </w:pPr>
    </w:p>
    <w:p w14:paraId="1165D562" w14:textId="69204CAB" w:rsidR="00792D73" w:rsidRDefault="00792D73" w:rsidP="00792D73">
      <w:pPr>
        <w:jc w:val="both"/>
        <w:rPr>
          <w:rFonts w:asciiTheme="majorHAnsi" w:hAnsiTheme="majorHAnsi" w:cstheme="majorHAnsi"/>
          <w:sz w:val="20"/>
          <w:szCs w:val="20"/>
          <w:lang w:val="en-US" w:eastAsia="en-US" w:bidi="he-IL"/>
        </w:rPr>
      </w:pPr>
      <w:r w:rsidRPr="00792D73">
        <w:rPr>
          <w:rFonts w:asciiTheme="majorHAnsi" w:hAnsiTheme="majorHAnsi" w:cstheme="majorHAnsi"/>
          <w:sz w:val="20"/>
          <w:szCs w:val="20"/>
          <w:lang w:val="en-US" w:eastAsia="en-US" w:bidi="he-IL"/>
        </w:rPr>
        <w:t xml:space="preserve">Insurers here will need to manage potential concentrations, allocate capital with an awareness of nature-related risk, diversify exposures accordingly and identify opportunities where broader approaches </w:t>
      </w:r>
      <w:r w:rsidRPr="008957B0">
        <w:rPr>
          <w:rFonts w:asciiTheme="majorHAnsi" w:hAnsiTheme="majorHAnsi" w:cstheme="majorHAnsi"/>
          <w:sz w:val="20"/>
          <w:szCs w:val="20"/>
          <w:lang w:val="en-US" w:eastAsia="en-US" w:bidi="he-IL"/>
        </w:rPr>
        <w:t>–</w:t>
      </w:r>
      <w:r w:rsidRPr="00792D73">
        <w:rPr>
          <w:rFonts w:asciiTheme="majorHAnsi" w:hAnsiTheme="majorHAnsi" w:cstheme="majorHAnsi"/>
          <w:sz w:val="20"/>
          <w:szCs w:val="20"/>
          <w:lang w:val="en-US" w:eastAsia="en-US" w:bidi="he-IL"/>
        </w:rPr>
        <w:t xml:space="preserve"> beyond a single insurer’s role </w:t>
      </w:r>
      <w:r w:rsidRPr="008957B0">
        <w:rPr>
          <w:rFonts w:asciiTheme="majorHAnsi" w:hAnsiTheme="majorHAnsi" w:cstheme="majorHAnsi"/>
          <w:sz w:val="20"/>
          <w:szCs w:val="20"/>
          <w:lang w:val="en-US" w:eastAsia="en-US" w:bidi="he-IL"/>
        </w:rPr>
        <w:t>–</w:t>
      </w:r>
      <w:r w:rsidRPr="00792D73">
        <w:rPr>
          <w:rFonts w:asciiTheme="majorHAnsi" w:hAnsiTheme="majorHAnsi" w:cstheme="majorHAnsi"/>
          <w:sz w:val="20"/>
          <w:szCs w:val="20"/>
          <w:lang w:val="en-US" w:eastAsia="en-US" w:bidi="he-IL"/>
        </w:rPr>
        <w:t xml:space="preserve"> are essential to reduce risk and build resilience for communities and ecosystems.</w:t>
      </w:r>
    </w:p>
    <w:p w14:paraId="343288C3" w14:textId="77777777" w:rsidR="00792D73" w:rsidRPr="00792D73" w:rsidRDefault="00792D73" w:rsidP="00792D73">
      <w:pPr>
        <w:jc w:val="both"/>
        <w:rPr>
          <w:rFonts w:asciiTheme="majorHAnsi" w:hAnsiTheme="majorHAnsi" w:cstheme="majorHAnsi"/>
          <w:sz w:val="20"/>
          <w:szCs w:val="20"/>
          <w:lang w:val="en-US" w:eastAsia="en-US" w:bidi="he-IL"/>
        </w:rPr>
      </w:pPr>
    </w:p>
    <w:p w14:paraId="4D6BEF03" w14:textId="49A6D5D8" w:rsidR="005156CF" w:rsidRDefault="00792D73" w:rsidP="00792D73">
      <w:pPr>
        <w:jc w:val="both"/>
        <w:rPr>
          <w:rFonts w:asciiTheme="majorHAnsi" w:hAnsiTheme="majorHAnsi" w:cstheme="majorHAnsi"/>
          <w:sz w:val="20"/>
          <w:szCs w:val="20"/>
          <w:lang w:val="en-US" w:eastAsia="en-US" w:bidi="he-IL"/>
        </w:rPr>
      </w:pPr>
      <w:r w:rsidRPr="00792D73">
        <w:rPr>
          <w:rFonts w:asciiTheme="majorHAnsi" w:hAnsiTheme="majorHAnsi" w:cstheme="majorHAnsi"/>
          <w:sz w:val="20"/>
          <w:szCs w:val="20"/>
          <w:lang w:val="en-US" w:eastAsia="en-US" w:bidi="he-IL"/>
        </w:rPr>
        <w:t xml:space="preserve">As awareness of these emerging dynamics grows among regulators, investors, customers, shareholders and policymakers, responses to nature-loss may also introduce transition risks </w:t>
      </w:r>
      <w:r w:rsidRPr="008957B0">
        <w:rPr>
          <w:rFonts w:asciiTheme="majorHAnsi" w:hAnsiTheme="majorHAnsi" w:cstheme="majorHAnsi"/>
          <w:sz w:val="20"/>
          <w:szCs w:val="20"/>
          <w:lang w:val="en-US" w:eastAsia="en-US" w:bidi="he-IL"/>
        </w:rPr>
        <w:t>–</w:t>
      </w:r>
      <w:r w:rsidRPr="00792D73">
        <w:rPr>
          <w:rFonts w:asciiTheme="majorHAnsi" w:hAnsiTheme="majorHAnsi" w:cstheme="majorHAnsi"/>
          <w:sz w:val="20"/>
          <w:szCs w:val="20"/>
          <w:lang w:val="en-US" w:eastAsia="en-US" w:bidi="he-IL"/>
        </w:rPr>
        <w:t xml:space="preserve"> whether through regulatory changes, liability exposure, market shifts or evolving expectations. </w:t>
      </w:r>
      <w:proofErr w:type="gramStart"/>
      <w:r w:rsidRPr="00792D73">
        <w:rPr>
          <w:rFonts w:asciiTheme="majorHAnsi" w:hAnsiTheme="majorHAnsi" w:cstheme="majorHAnsi"/>
          <w:sz w:val="20"/>
          <w:szCs w:val="20"/>
          <w:lang w:val="en-US" w:eastAsia="en-US" w:bidi="he-IL"/>
        </w:rPr>
        <w:t>Similar to</w:t>
      </w:r>
      <w:proofErr w:type="gramEnd"/>
      <w:r w:rsidRPr="00792D73">
        <w:rPr>
          <w:rFonts w:asciiTheme="majorHAnsi" w:hAnsiTheme="majorHAnsi" w:cstheme="majorHAnsi"/>
          <w:sz w:val="20"/>
          <w:szCs w:val="20"/>
          <w:lang w:val="en-US" w:eastAsia="en-US" w:bidi="he-IL"/>
        </w:rPr>
        <w:t xml:space="preserve"> physical nature-risk, such transition-related effects are not yet systematically incorporated into underwriting frameworks.</w:t>
      </w:r>
    </w:p>
    <w:p w14:paraId="66EE0E54" w14:textId="77777777" w:rsidR="00DC36C4" w:rsidRDefault="00DC36C4" w:rsidP="00792D73">
      <w:pPr>
        <w:jc w:val="both"/>
        <w:rPr>
          <w:rFonts w:asciiTheme="majorHAnsi" w:hAnsiTheme="majorHAnsi" w:cstheme="majorHAnsi"/>
          <w:sz w:val="20"/>
          <w:szCs w:val="20"/>
          <w:lang w:val="en-US" w:eastAsia="en-US" w:bidi="he-IL"/>
        </w:rPr>
      </w:pPr>
    </w:p>
    <w:p w14:paraId="6C37A39A" w14:textId="4C044853" w:rsidR="005156CF" w:rsidRDefault="00DC36C4" w:rsidP="00BE26E7">
      <w:pPr>
        <w:jc w:val="both"/>
        <w:rPr>
          <w:rFonts w:asciiTheme="majorHAnsi" w:hAnsiTheme="majorHAnsi" w:cstheme="majorHAnsi"/>
          <w:sz w:val="20"/>
          <w:szCs w:val="20"/>
          <w:lang w:val="en-US" w:eastAsia="en-US" w:bidi="he-IL"/>
        </w:rPr>
      </w:pPr>
      <w:r w:rsidRPr="00DC36C4">
        <w:rPr>
          <w:rFonts w:asciiTheme="majorHAnsi" w:hAnsiTheme="majorHAnsi" w:cstheme="majorHAnsi"/>
          <w:sz w:val="20"/>
          <w:szCs w:val="20"/>
          <w:lang w:val="en-US" w:eastAsia="en-US" w:bidi="he-IL"/>
        </w:rPr>
        <w:t>These are the gaps and limitations identified in the first phase of the PSI Working Group for Nature, which this next phase now seeks to address.</w:t>
      </w:r>
    </w:p>
    <w:p w14:paraId="4763506D" w14:textId="77777777" w:rsidR="00DC36C4" w:rsidRDefault="00DC36C4" w:rsidP="00BE26E7">
      <w:pPr>
        <w:jc w:val="both"/>
        <w:rPr>
          <w:rFonts w:asciiTheme="majorHAnsi" w:hAnsiTheme="majorHAnsi" w:cstheme="majorHAnsi"/>
          <w:sz w:val="20"/>
          <w:szCs w:val="20"/>
          <w:lang w:val="en-US" w:eastAsia="en-US" w:bidi="he-IL"/>
        </w:rPr>
      </w:pPr>
    </w:p>
    <w:p w14:paraId="01C9216C" w14:textId="78BCDFD6" w:rsidR="006A72F8" w:rsidRPr="004B41B1" w:rsidRDefault="004B41B1" w:rsidP="006A72F8">
      <w:pPr>
        <w:pStyle w:val="Heading2"/>
        <w:rPr>
          <w:rFonts w:cstheme="majorHAnsi"/>
          <w:lang w:val="en-US"/>
        </w:rPr>
      </w:pPr>
      <w:bookmarkStart w:id="3" w:name="_Toc214867626"/>
      <w:r w:rsidRPr="004B41B1">
        <w:rPr>
          <w:rFonts w:cstheme="majorHAnsi"/>
          <w:lang w:val="en-US"/>
        </w:rPr>
        <w:t xml:space="preserve">Insurance as </w:t>
      </w:r>
      <w:r w:rsidR="00681104">
        <w:rPr>
          <w:rFonts w:cstheme="majorHAnsi"/>
          <w:lang w:val="en-US"/>
        </w:rPr>
        <w:t>Part</w:t>
      </w:r>
      <w:r w:rsidRPr="004B41B1">
        <w:rPr>
          <w:rFonts w:cstheme="majorHAnsi"/>
          <w:lang w:val="en-US"/>
        </w:rPr>
        <w:t xml:space="preserve"> of the Solution</w:t>
      </w:r>
      <w:bookmarkEnd w:id="3"/>
    </w:p>
    <w:p w14:paraId="6B0FC729" w14:textId="77777777" w:rsidR="005156CF" w:rsidRDefault="005156CF" w:rsidP="00EF1787">
      <w:pPr>
        <w:rPr>
          <w:rFonts w:asciiTheme="majorHAnsi" w:hAnsiTheme="majorHAnsi" w:cstheme="majorHAnsi"/>
          <w:sz w:val="20"/>
          <w:szCs w:val="20"/>
          <w:lang w:val="en-US" w:eastAsia="en-US" w:bidi="he-IL"/>
        </w:rPr>
      </w:pPr>
    </w:p>
    <w:p w14:paraId="43B3412F" w14:textId="77777777" w:rsidR="00EF1787" w:rsidRDefault="00EF1787" w:rsidP="00EF1787">
      <w:pPr>
        <w:rPr>
          <w:rFonts w:asciiTheme="majorHAnsi" w:hAnsiTheme="majorHAnsi" w:cstheme="majorHAnsi"/>
          <w:sz w:val="20"/>
          <w:szCs w:val="20"/>
          <w:lang w:val="en-US" w:eastAsia="en-US" w:bidi="he-IL"/>
        </w:rPr>
      </w:pPr>
      <w:r w:rsidRPr="00EF1787">
        <w:rPr>
          <w:rFonts w:asciiTheme="majorHAnsi" w:hAnsiTheme="majorHAnsi" w:cstheme="majorHAnsi"/>
          <w:sz w:val="20"/>
          <w:szCs w:val="20"/>
          <w:lang w:val="en-US" w:eastAsia="en-US" w:bidi="he-IL"/>
        </w:rPr>
        <w:t>While insurers currently use risk-mitigation tools (such as negative screening, annual repricing, selective exits from high-risk markets or regions) these approaches may lead to market contraction—for example in property and casualty lines—when risk is concentrated and premiums unviable.</w:t>
      </w:r>
    </w:p>
    <w:p w14:paraId="4ED88E20" w14:textId="77777777" w:rsidR="00EF1787" w:rsidRPr="00EF1787" w:rsidRDefault="00EF1787" w:rsidP="00EF1787">
      <w:pPr>
        <w:rPr>
          <w:rFonts w:asciiTheme="majorHAnsi" w:hAnsiTheme="majorHAnsi" w:cstheme="majorHAnsi"/>
          <w:sz w:val="20"/>
          <w:szCs w:val="20"/>
          <w:lang w:val="en-US" w:eastAsia="en-US" w:bidi="he-IL"/>
        </w:rPr>
      </w:pPr>
    </w:p>
    <w:p w14:paraId="64D14A99" w14:textId="1D12E7BD" w:rsidR="00EF1787" w:rsidRDefault="00EF1787" w:rsidP="00EF1787">
      <w:pPr>
        <w:rPr>
          <w:rFonts w:asciiTheme="majorHAnsi" w:hAnsiTheme="majorHAnsi" w:cstheme="majorHAnsi"/>
          <w:sz w:val="20"/>
          <w:szCs w:val="20"/>
          <w:lang w:val="en-US" w:eastAsia="en-US" w:bidi="he-IL"/>
        </w:rPr>
      </w:pPr>
      <w:r w:rsidRPr="00EF1787">
        <w:rPr>
          <w:rFonts w:asciiTheme="majorHAnsi" w:hAnsiTheme="majorHAnsi" w:cstheme="majorHAnsi"/>
          <w:sz w:val="20"/>
          <w:szCs w:val="20"/>
          <w:lang w:val="en-US" w:eastAsia="en-US" w:bidi="he-IL"/>
        </w:rPr>
        <w:t xml:space="preserve">In a world of increasing hazard and exposure, the role of insurance in protecting communities and economies becomes more critical, especially in contexts where public finances are constrained and cannot absorb full loss-burdens. Insurance serves as a first line of defense. By signaling risk through underwriting and pricing, insurance provides decision-relevant </w:t>
      </w:r>
      <w:r w:rsidRPr="00EF1787">
        <w:rPr>
          <w:rFonts w:asciiTheme="majorHAnsi" w:hAnsiTheme="majorHAnsi" w:cstheme="majorHAnsi"/>
          <w:sz w:val="20"/>
          <w:szCs w:val="20"/>
          <w:lang w:val="en-US" w:eastAsia="en-US" w:bidi="he-IL"/>
        </w:rPr>
        <w:lastRenderedPageBreak/>
        <w:t xml:space="preserve">information for both public and private sector actors. But where insurers cannot reduce risk or engage customers in risk-reduction efforts, they </w:t>
      </w:r>
      <w:r w:rsidR="00EF5DC1">
        <w:rPr>
          <w:rFonts w:asciiTheme="majorHAnsi" w:hAnsiTheme="majorHAnsi" w:cstheme="majorHAnsi"/>
          <w:sz w:val="20"/>
          <w:szCs w:val="20"/>
          <w:lang w:val="en-US" w:eastAsia="en-US" w:bidi="he-IL"/>
        </w:rPr>
        <w:t>can</w:t>
      </w:r>
      <w:r w:rsidRPr="00EF1787">
        <w:rPr>
          <w:rFonts w:asciiTheme="majorHAnsi" w:hAnsiTheme="majorHAnsi" w:cstheme="majorHAnsi"/>
          <w:sz w:val="20"/>
          <w:szCs w:val="20"/>
          <w:lang w:val="en-US" w:eastAsia="en-US" w:bidi="he-IL"/>
        </w:rPr>
        <w:t xml:space="preserve"> provide a financial safety net—covering losses and preventing financial hardship, thus reducing protection </w:t>
      </w:r>
      <w:proofErr w:type="gramStart"/>
      <w:r w:rsidRPr="00EF1787">
        <w:rPr>
          <w:rFonts w:asciiTheme="majorHAnsi" w:hAnsiTheme="majorHAnsi" w:cstheme="majorHAnsi"/>
          <w:sz w:val="20"/>
          <w:szCs w:val="20"/>
          <w:lang w:val="en-US" w:eastAsia="en-US" w:bidi="he-IL"/>
        </w:rPr>
        <w:t>gaps</w:t>
      </w:r>
      <w:proofErr w:type="gramEnd"/>
      <w:r w:rsidRPr="00EF1787">
        <w:rPr>
          <w:rFonts w:asciiTheme="majorHAnsi" w:hAnsiTheme="majorHAnsi" w:cstheme="majorHAnsi"/>
          <w:sz w:val="20"/>
          <w:szCs w:val="20"/>
          <w:lang w:val="en-US" w:eastAsia="en-US" w:bidi="he-IL"/>
        </w:rPr>
        <w:t xml:space="preserve"> and supporting business continuity.</w:t>
      </w:r>
    </w:p>
    <w:p w14:paraId="4C27BBC7" w14:textId="77777777" w:rsidR="00EF1787" w:rsidRPr="00EF1787" w:rsidRDefault="00EF1787" w:rsidP="00EF1787">
      <w:pPr>
        <w:rPr>
          <w:rFonts w:asciiTheme="majorHAnsi" w:hAnsiTheme="majorHAnsi" w:cstheme="majorHAnsi"/>
          <w:sz w:val="20"/>
          <w:szCs w:val="20"/>
          <w:lang w:val="en-US" w:eastAsia="en-US" w:bidi="he-IL"/>
        </w:rPr>
      </w:pPr>
    </w:p>
    <w:p w14:paraId="2B5CAC64" w14:textId="4DBA9610" w:rsidR="004C25AE" w:rsidRPr="008F2580" w:rsidRDefault="00EF1787" w:rsidP="00DC36C4">
      <w:pPr>
        <w:spacing w:after="160" w:line="259" w:lineRule="auto"/>
        <w:jc w:val="both"/>
        <w:rPr>
          <w:rFonts w:asciiTheme="majorHAnsi" w:hAnsiTheme="majorHAnsi" w:cstheme="majorHAnsi"/>
          <w:sz w:val="20"/>
          <w:szCs w:val="20"/>
          <w:lang w:val="en-US" w:eastAsia="en-US" w:bidi="he-IL"/>
        </w:rPr>
      </w:pPr>
      <w:r w:rsidRPr="00EF1787">
        <w:rPr>
          <w:rFonts w:asciiTheme="majorHAnsi" w:hAnsiTheme="majorHAnsi" w:cstheme="majorHAnsi"/>
          <w:sz w:val="20"/>
          <w:szCs w:val="20"/>
          <w:lang w:val="en-US" w:eastAsia="en-US" w:bidi="he-IL"/>
        </w:rPr>
        <w:t xml:space="preserve">Insurance can instigate a virtuous upward spiral: when insurers reflect nature’s protective value in risk models and underwriting decisions, they extend insurability, reward </w:t>
      </w:r>
      <w:proofErr w:type="gramStart"/>
      <w:r w:rsidRPr="00EF1787">
        <w:rPr>
          <w:rFonts w:asciiTheme="majorHAnsi" w:hAnsiTheme="majorHAnsi" w:cstheme="majorHAnsi"/>
          <w:sz w:val="20"/>
          <w:szCs w:val="20"/>
          <w:lang w:val="en-US" w:eastAsia="en-US" w:bidi="he-IL"/>
        </w:rPr>
        <w:t>prevention</w:t>
      </w:r>
      <w:proofErr w:type="gramEnd"/>
      <w:r w:rsidRPr="00EF1787">
        <w:rPr>
          <w:rFonts w:asciiTheme="majorHAnsi" w:hAnsiTheme="majorHAnsi" w:cstheme="majorHAnsi"/>
          <w:sz w:val="20"/>
          <w:szCs w:val="20"/>
          <w:lang w:val="en-US" w:eastAsia="en-US" w:bidi="he-IL"/>
        </w:rPr>
        <w:t xml:space="preserve"> and unlock capital for resilience. Nevertheless, resilience investments are still not flowing at the required scale. A key barrier is the difficulty of monetizing avoided losses—even though risk is rising. The insurance industry has an opportunity to build upon these clear linkages by developing standardized approaches and methodologies for ‘pricing nature’ and mainstreaming nature-integrated underwriting.</w:t>
      </w:r>
    </w:p>
    <w:p w14:paraId="1D4E315A" w14:textId="77777777" w:rsidR="009F0DFA" w:rsidRPr="008F2580" w:rsidRDefault="00B23FBD" w:rsidP="009F0DFA">
      <w:pPr>
        <w:pStyle w:val="Heading1"/>
        <w:rPr>
          <w:rFonts w:cstheme="majorHAnsi"/>
          <w:lang w:val="en-US"/>
        </w:rPr>
      </w:pPr>
      <w:bookmarkStart w:id="4" w:name="_Toc214867627"/>
      <w:r>
        <w:rPr>
          <w:rFonts w:cstheme="majorHAnsi"/>
          <w:lang w:val="en-US"/>
        </w:rPr>
        <w:t>The What</w:t>
      </w:r>
      <w:bookmarkEnd w:id="4"/>
    </w:p>
    <w:p w14:paraId="5BC805F0" w14:textId="4240B6ED" w:rsidR="009F0DFA" w:rsidRPr="008F2580" w:rsidRDefault="00B23FBD" w:rsidP="009F0DFA">
      <w:pPr>
        <w:pStyle w:val="Heading2"/>
        <w:rPr>
          <w:rFonts w:cstheme="majorHAnsi"/>
          <w:lang w:val="en-US"/>
        </w:rPr>
      </w:pPr>
      <w:bookmarkStart w:id="5" w:name="_Toc214867628"/>
      <w:r>
        <w:rPr>
          <w:rFonts w:cstheme="majorHAnsi"/>
          <w:lang w:val="en-US"/>
        </w:rPr>
        <w:t>Intended Outcomes</w:t>
      </w:r>
      <w:r w:rsidR="00D15166">
        <w:rPr>
          <w:rFonts w:cstheme="majorHAnsi"/>
          <w:lang w:val="en-US"/>
        </w:rPr>
        <w:t xml:space="preserve"> of the Project</w:t>
      </w:r>
      <w:bookmarkEnd w:id="5"/>
    </w:p>
    <w:p w14:paraId="1E41B425" w14:textId="77777777" w:rsidR="00297D08" w:rsidRDefault="00297D08" w:rsidP="00FE1D32">
      <w:pPr>
        <w:jc w:val="both"/>
        <w:rPr>
          <w:rFonts w:asciiTheme="majorHAnsi" w:hAnsiTheme="majorHAnsi" w:cstheme="majorHAnsi"/>
          <w:sz w:val="20"/>
          <w:szCs w:val="20"/>
          <w:lang w:val="en-US" w:eastAsia="en-US" w:bidi="he-IL"/>
        </w:rPr>
      </w:pPr>
    </w:p>
    <w:p w14:paraId="53FD64BD" w14:textId="35B8A3D2" w:rsidR="009C0A76" w:rsidRDefault="009C0A76" w:rsidP="009C0A76">
      <w:pPr>
        <w:jc w:val="both"/>
        <w:rPr>
          <w:rFonts w:asciiTheme="majorHAnsi" w:hAnsiTheme="majorHAnsi" w:cstheme="majorHAnsi"/>
          <w:sz w:val="20"/>
          <w:szCs w:val="20"/>
          <w:lang w:val="en-US" w:eastAsia="en-US" w:bidi="he-IL"/>
        </w:rPr>
      </w:pPr>
      <w:r w:rsidRPr="009C0A76">
        <w:rPr>
          <w:rFonts w:asciiTheme="majorHAnsi" w:hAnsiTheme="majorHAnsi" w:cstheme="majorHAnsi"/>
          <w:sz w:val="20"/>
          <w:szCs w:val="20"/>
          <w:lang w:val="en-US" w:eastAsia="en-US" w:bidi="he-IL"/>
        </w:rPr>
        <w:t>Nature-related risks are already contributing to losses and stranded assets, yet they remain a blind spot because claims and insured losses are not clearly attributed to nature-related drivers. This reinforces a climate-only narrative and limits insurers’ ability to understand their nature-related exposures and their role in addressing them. Even where ecosystem condition is implicitly reflected in risk dynamics, it is typically not evaluated on a forward-looking. As a result, insurers are not able to systematically identify where nature-based solutions could reduce expected losses, nor where nature-related exposures may lead to widening protection gaps for businesses.</w:t>
      </w:r>
    </w:p>
    <w:p w14:paraId="7B5F5B35" w14:textId="77777777" w:rsidR="009C0A76" w:rsidRPr="009C0A76" w:rsidRDefault="009C0A76" w:rsidP="009C0A76">
      <w:pPr>
        <w:jc w:val="both"/>
        <w:rPr>
          <w:rFonts w:asciiTheme="majorHAnsi" w:hAnsiTheme="majorHAnsi" w:cstheme="majorHAnsi"/>
          <w:sz w:val="20"/>
          <w:szCs w:val="20"/>
          <w:lang w:val="en-US" w:eastAsia="en-US" w:bidi="he-IL"/>
        </w:rPr>
      </w:pPr>
    </w:p>
    <w:p w14:paraId="1C268F7F" w14:textId="0B98F559" w:rsidR="009C0A76" w:rsidRDefault="009C0A76" w:rsidP="009C0A76">
      <w:pPr>
        <w:jc w:val="both"/>
        <w:rPr>
          <w:rFonts w:asciiTheme="majorHAnsi" w:hAnsiTheme="majorHAnsi" w:cstheme="majorHAnsi"/>
          <w:sz w:val="20"/>
          <w:szCs w:val="20"/>
          <w:lang w:val="en-US" w:eastAsia="en-US" w:bidi="he-IL"/>
        </w:rPr>
      </w:pPr>
      <w:r w:rsidRPr="009C0A76">
        <w:rPr>
          <w:rFonts w:asciiTheme="majorHAnsi" w:hAnsiTheme="majorHAnsi" w:cstheme="majorHAnsi"/>
          <w:sz w:val="20"/>
          <w:szCs w:val="20"/>
          <w:lang w:val="en-US" w:eastAsia="en-US" w:bidi="he-IL"/>
        </w:rPr>
        <w:t xml:space="preserve">Against this backdrop, the PSI Working Group for Nature aims to close these gaps and advance nature-related risk and opportunity assessments for non-life insurance, together with the approaches needed to integrate these considerations into existing underwriting and risk-management processes. The intention is to support more decision-useful outputs and actions that enable insurers to </w:t>
      </w:r>
      <w:proofErr w:type="gramStart"/>
      <w:r w:rsidRPr="009C0A76">
        <w:rPr>
          <w:rFonts w:asciiTheme="majorHAnsi" w:hAnsiTheme="majorHAnsi" w:cstheme="majorHAnsi"/>
          <w:sz w:val="20"/>
          <w:szCs w:val="20"/>
          <w:lang w:val="en-US" w:eastAsia="en-US" w:bidi="he-IL"/>
        </w:rPr>
        <w:t xml:space="preserve">more effectively </w:t>
      </w:r>
      <w:r w:rsidRPr="009C0A76">
        <w:rPr>
          <w:rFonts w:asciiTheme="majorHAnsi" w:hAnsiTheme="majorHAnsi" w:cstheme="majorHAnsi"/>
          <w:sz w:val="20"/>
          <w:szCs w:val="20"/>
          <w:lang w:val="en-US" w:eastAsia="en-US" w:bidi="he-IL"/>
        </w:rPr>
        <w:t>recognize</w:t>
      </w:r>
      <w:r w:rsidRPr="009C0A76">
        <w:rPr>
          <w:rFonts w:asciiTheme="majorHAnsi" w:hAnsiTheme="majorHAnsi" w:cstheme="majorHAnsi"/>
          <w:sz w:val="20"/>
          <w:szCs w:val="20"/>
          <w:lang w:val="en-US" w:eastAsia="en-US" w:bidi="he-IL"/>
        </w:rPr>
        <w:t>, assess and respond to nature-related risk</w:t>
      </w:r>
      <w:r>
        <w:rPr>
          <w:rFonts w:asciiTheme="majorHAnsi" w:hAnsiTheme="majorHAnsi" w:cstheme="majorHAnsi"/>
          <w:sz w:val="20"/>
          <w:szCs w:val="20"/>
          <w:lang w:val="en-US" w:eastAsia="en-US" w:bidi="he-IL"/>
        </w:rPr>
        <w:t>s</w:t>
      </w:r>
      <w:proofErr w:type="gramEnd"/>
      <w:r w:rsidRPr="009C0A76">
        <w:rPr>
          <w:rFonts w:asciiTheme="majorHAnsi" w:hAnsiTheme="majorHAnsi" w:cstheme="majorHAnsi"/>
          <w:sz w:val="20"/>
          <w:szCs w:val="20"/>
          <w:lang w:val="en-US" w:eastAsia="en-US" w:bidi="he-IL"/>
        </w:rPr>
        <w:t>.</w:t>
      </w:r>
    </w:p>
    <w:p w14:paraId="70ADB307" w14:textId="77777777" w:rsidR="009C0A76" w:rsidRDefault="009C0A76" w:rsidP="00FE1D32">
      <w:pPr>
        <w:jc w:val="both"/>
        <w:rPr>
          <w:rFonts w:asciiTheme="majorHAnsi" w:hAnsiTheme="majorHAnsi" w:cstheme="majorHAnsi"/>
          <w:sz w:val="20"/>
          <w:szCs w:val="20"/>
          <w:lang w:val="en-US" w:eastAsia="en-US" w:bidi="he-IL"/>
        </w:rPr>
      </w:pPr>
    </w:p>
    <w:p w14:paraId="00D4BC15" w14:textId="046AADC4" w:rsidR="00DC36C4" w:rsidRDefault="009C0A76" w:rsidP="00FE1D32">
      <w:pPr>
        <w:jc w:val="both"/>
        <w:rPr>
          <w:rFonts w:asciiTheme="majorHAnsi" w:hAnsiTheme="majorHAnsi" w:cstheme="majorHAnsi"/>
          <w:sz w:val="20"/>
          <w:szCs w:val="20"/>
          <w:lang w:val="en-US" w:eastAsia="en-US" w:bidi="he-IL"/>
        </w:rPr>
      </w:pPr>
      <w:r w:rsidRPr="009C0A76">
        <w:rPr>
          <w:rFonts w:asciiTheme="majorHAnsi" w:hAnsiTheme="majorHAnsi" w:cstheme="majorHAnsi"/>
          <w:sz w:val="20"/>
          <w:szCs w:val="20"/>
          <w:lang w:val="en-US" w:eastAsia="en-US" w:bidi="he-IL"/>
        </w:rPr>
        <w:t xml:space="preserve">Reflecting internal Working Group discussions, this phase focuses on approaches that can be implemented practically, including methodologies that can be applied </w:t>
      </w:r>
      <w:r>
        <w:rPr>
          <w:rFonts w:asciiTheme="majorHAnsi" w:hAnsiTheme="majorHAnsi" w:cstheme="majorHAnsi"/>
          <w:sz w:val="20"/>
          <w:szCs w:val="20"/>
          <w:lang w:val="en-US" w:eastAsia="en-US" w:bidi="he-IL"/>
        </w:rPr>
        <w:t xml:space="preserve">for specific assets and </w:t>
      </w:r>
      <w:r w:rsidRPr="009C0A76">
        <w:rPr>
          <w:rFonts w:asciiTheme="majorHAnsi" w:hAnsiTheme="majorHAnsi" w:cstheme="majorHAnsi"/>
          <w:sz w:val="20"/>
          <w:szCs w:val="20"/>
          <w:lang w:val="en-US" w:eastAsia="en-US" w:bidi="he-IL"/>
        </w:rPr>
        <w:t>locations and that enable integration of ecosystem-related factors into existing risk models</w:t>
      </w:r>
      <w:r>
        <w:rPr>
          <w:rFonts w:asciiTheme="majorHAnsi" w:hAnsiTheme="majorHAnsi" w:cstheme="majorHAnsi"/>
          <w:sz w:val="20"/>
          <w:szCs w:val="20"/>
          <w:lang w:val="en-US" w:eastAsia="en-US" w:bidi="he-IL"/>
        </w:rPr>
        <w:t xml:space="preserve">, </w:t>
      </w:r>
      <w:r w:rsidRPr="009C0A76">
        <w:rPr>
          <w:rFonts w:asciiTheme="majorHAnsi" w:hAnsiTheme="majorHAnsi" w:cstheme="majorHAnsi"/>
          <w:sz w:val="20"/>
          <w:szCs w:val="20"/>
          <w:lang w:val="en-US" w:eastAsia="en-US" w:bidi="he-IL"/>
        </w:rPr>
        <w:t>strengthening underwriting decision-making</w:t>
      </w:r>
      <w:r>
        <w:rPr>
          <w:rFonts w:asciiTheme="majorHAnsi" w:hAnsiTheme="majorHAnsi" w:cstheme="majorHAnsi"/>
          <w:sz w:val="20"/>
          <w:szCs w:val="20"/>
          <w:lang w:val="en-US" w:eastAsia="en-US" w:bidi="he-IL"/>
        </w:rPr>
        <w:t>.</w:t>
      </w:r>
    </w:p>
    <w:p w14:paraId="50A2579D" w14:textId="77777777" w:rsidR="004D7274" w:rsidRDefault="004D7274" w:rsidP="00FE1D32">
      <w:pPr>
        <w:jc w:val="both"/>
        <w:rPr>
          <w:rFonts w:asciiTheme="majorHAnsi" w:hAnsiTheme="majorHAnsi" w:cstheme="majorHAnsi"/>
          <w:sz w:val="20"/>
          <w:szCs w:val="20"/>
          <w:lang w:val="en-US" w:eastAsia="en-US" w:bidi="he-IL"/>
        </w:rPr>
      </w:pPr>
    </w:p>
    <w:p w14:paraId="1E84FD6C" w14:textId="77777777" w:rsidR="009C0A76" w:rsidRPr="009C0A76" w:rsidRDefault="009C0A76" w:rsidP="009C0A76">
      <w:pPr>
        <w:jc w:val="both"/>
        <w:rPr>
          <w:rFonts w:asciiTheme="majorHAnsi" w:hAnsiTheme="majorHAnsi" w:cstheme="majorHAnsi"/>
          <w:b/>
          <w:bCs/>
          <w:sz w:val="20"/>
          <w:szCs w:val="20"/>
          <w:lang w:val="en-US" w:eastAsia="en-US" w:bidi="he-IL"/>
        </w:rPr>
      </w:pPr>
      <w:r w:rsidRPr="009C0A76">
        <w:rPr>
          <w:rFonts w:asciiTheme="majorHAnsi" w:hAnsiTheme="majorHAnsi" w:cstheme="majorHAnsi"/>
          <w:b/>
          <w:bCs/>
          <w:sz w:val="20"/>
          <w:szCs w:val="20"/>
          <w:lang w:val="en-US" w:eastAsia="en-US" w:bidi="he-IL"/>
        </w:rPr>
        <w:t>Main intended outcomes of this project are:</w:t>
      </w:r>
    </w:p>
    <w:p w14:paraId="6EFAEAF4" w14:textId="4EF3AEBC" w:rsidR="009C0A76" w:rsidRPr="009C0A76" w:rsidRDefault="009C0A76" w:rsidP="009C0A76">
      <w:pPr>
        <w:pStyle w:val="ListParagraph"/>
        <w:numPr>
          <w:ilvl w:val="0"/>
          <w:numId w:val="110"/>
        </w:numPr>
        <w:jc w:val="both"/>
        <w:rPr>
          <w:rFonts w:asciiTheme="majorHAnsi" w:hAnsiTheme="majorHAnsi" w:cstheme="majorHAnsi"/>
          <w:sz w:val="20"/>
          <w:szCs w:val="20"/>
          <w:lang w:val="en-US" w:eastAsia="en-US" w:bidi="he-IL"/>
        </w:rPr>
      </w:pPr>
      <w:r w:rsidRPr="009C0A76">
        <w:rPr>
          <w:rFonts w:asciiTheme="majorHAnsi" w:hAnsiTheme="majorHAnsi" w:cstheme="majorHAnsi"/>
          <w:b/>
          <w:bCs/>
          <w:sz w:val="20"/>
          <w:szCs w:val="20"/>
          <w:lang w:val="en-US" w:eastAsia="en-US" w:bidi="he-IL"/>
        </w:rPr>
        <w:t xml:space="preserve">A clearer causal understanding of how </w:t>
      </w:r>
      <w:r w:rsidRPr="009C0A76">
        <w:rPr>
          <w:rFonts w:asciiTheme="majorHAnsi" w:hAnsiTheme="majorHAnsi" w:cstheme="majorHAnsi"/>
          <w:b/>
          <w:bCs/>
          <w:sz w:val="20"/>
          <w:szCs w:val="20"/>
          <w:lang w:val="en-US" w:eastAsia="en-US" w:bidi="he-IL"/>
        </w:rPr>
        <w:t>ecosystem condition</w:t>
      </w:r>
      <w:r w:rsidRPr="009C0A76">
        <w:rPr>
          <w:rFonts w:asciiTheme="majorHAnsi" w:hAnsiTheme="majorHAnsi" w:cstheme="majorHAnsi"/>
          <w:b/>
          <w:bCs/>
          <w:sz w:val="20"/>
          <w:szCs w:val="20"/>
          <w:lang w:val="en-US" w:eastAsia="en-US" w:bidi="he-IL"/>
        </w:rPr>
        <w:t xml:space="preserve"> changes risk</w:t>
      </w:r>
      <w:r w:rsidRPr="009C0A76">
        <w:rPr>
          <w:rFonts w:asciiTheme="majorHAnsi" w:hAnsiTheme="majorHAnsi" w:cstheme="majorHAnsi"/>
          <w:sz w:val="20"/>
          <w:szCs w:val="20"/>
          <w:lang w:val="en-US" w:eastAsia="en-US" w:bidi="he-IL"/>
        </w:rPr>
        <w:t xml:space="preserve">, demonstrated through a visible pathway linking ecosystem condition to hazard frequency, </w:t>
      </w:r>
      <w:proofErr w:type="gramStart"/>
      <w:r w:rsidRPr="009C0A76">
        <w:rPr>
          <w:rFonts w:asciiTheme="majorHAnsi" w:hAnsiTheme="majorHAnsi" w:cstheme="majorHAnsi"/>
          <w:sz w:val="20"/>
          <w:szCs w:val="20"/>
          <w:lang w:val="en-US" w:eastAsia="en-US" w:bidi="he-IL"/>
        </w:rPr>
        <w:t>severity</w:t>
      </w:r>
      <w:proofErr w:type="gramEnd"/>
      <w:r w:rsidRPr="009C0A76">
        <w:rPr>
          <w:rFonts w:asciiTheme="majorHAnsi" w:hAnsiTheme="majorHAnsi" w:cstheme="majorHAnsi"/>
          <w:sz w:val="20"/>
          <w:szCs w:val="20"/>
          <w:lang w:val="en-US" w:eastAsia="en-US" w:bidi="he-IL"/>
        </w:rPr>
        <w:t xml:space="preserve"> and emergence of new perils. This will help convert ecological knowledge into insurance-relevant terms and close a major gap between science and underwriting practice.</w:t>
      </w:r>
    </w:p>
    <w:p w14:paraId="6FC118C5" w14:textId="1C24F9C3" w:rsidR="004D7274" w:rsidRDefault="009C0A76" w:rsidP="009C0A76">
      <w:pPr>
        <w:pStyle w:val="ListParagraph"/>
        <w:numPr>
          <w:ilvl w:val="0"/>
          <w:numId w:val="110"/>
        </w:numPr>
        <w:jc w:val="both"/>
        <w:rPr>
          <w:rFonts w:asciiTheme="majorHAnsi" w:hAnsiTheme="majorHAnsi" w:cstheme="majorHAnsi"/>
          <w:sz w:val="20"/>
          <w:szCs w:val="20"/>
          <w:lang w:val="en-US" w:eastAsia="en-US" w:bidi="he-IL"/>
        </w:rPr>
      </w:pPr>
      <w:r w:rsidRPr="009C0A76">
        <w:rPr>
          <w:rFonts w:asciiTheme="majorHAnsi" w:hAnsiTheme="majorHAnsi" w:cstheme="majorHAnsi"/>
          <w:b/>
          <w:bCs/>
          <w:sz w:val="20"/>
          <w:szCs w:val="20"/>
          <w:lang w:val="en-US" w:eastAsia="en-US" w:bidi="he-IL"/>
        </w:rPr>
        <w:t>Improved capability for screening, risk-</w:t>
      </w:r>
      <w:proofErr w:type="gramStart"/>
      <w:r w:rsidRPr="009C0A76">
        <w:rPr>
          <w:rFonts w:asciiTheme="majorHAnsi" w:hAnsiTheme="majorHAnsi" w:cstheme="majorHAnsi"/>
          <w:b/>
          <w:bCs/>
          <w:sz w:val="20"/>
          <w:szCs w:val="20"/>
          <w:lang w:val="en-US" w:eastAsia="en-US" w:bidi="he-IL"/>
        </w:rPr>
        <w:t>acceptance</w:t>
      </w:r>
      <w:proofErr w:type="gramEnd"/>
      <w:r w:rsidRPr="009C0A76">
        <w:rPr>
          <w:rFonts w:asciiTheme="majorHAnsi" w:hAnsiTheme="majorHAnsi" w:cstheme="majorHAnsi"/>
          <w:b/>
          <w:bCs/>
          <w:sz w:val="20"/>
          <w:szCs w:val="20"/>
          <w:lang w:val="en-US" w:eastAsia="en-US" w:bidi="he-IL"/>
        </w:rPr>
        <w:t xml:space="preserve"> and underwriting decision-making</w:t>
      </w:r>
      <w:r w:rsidRPr="009C0A76">
        <w:rPr>
          <w:rFonts w:asciiTheme="majorHAnsi" w:hAnsiTheme="majorHAnsi" w:cstheme="majorHAnsi"/>
          <w:sz w:val="20"/>
          <w:szCs w:val="20"/>
          <w:lang w:val="en-US" w:eastAsia="en-US" w:bidi="he-IL"/>
        </w:rPr>
        <w:t xml:space="preserve">, enabled by a baseline set of tools and approaches that support identification of </w:t>
      </w:r>
      <w:r w:rsidRPr="009C0A76">
        <w:rPr>
          <w:rFonts w:asciiTheme="majorHAnsi" w:hAnsiTheme="majorHAnsi" w:cstheme="majorHAnsi"/>
          <w:sz w:val="20"/>
          <w:szCs w:val="20"/>
          <w:lang w:val="en-US" w:eastAsia="en-US" w:bidi="he-IL"/>
        </w:rPr>
        <w:t>localized</w:t>
      </w:r>
      <w:r w:rsidRPr="009C0A76">
        <w:rPr>
          <w:rFonts w:asciiTheme="majorHAnsi" w:hAnsiTheme="majorHAnsi" w:cstheme="majorHAnsi"/>
          <w:sz w:val="20"/>
          <w:szCs w:val="20"/>
          <w:lang w:val="en-US" w:eastAsia="en-US" w:bidi="he-IL"/>
        </w:rPr>
        <w:t xml:space="preserve"> hazard conditions, vulnerability and risk exposure at asset</w:t>
      </w:r>
      <w:r w:rsidRPr="009C0A76">
        <w:rPr>
          <w:rFonts w:asciiTheme="majorHAnsi" w:hAnsiTheme="majorHAnsi" w:cstheme="majorHAnsi"/>
          <w:sz w:val="20"/>
          <w:szCs w:val="20"/>
          <w:lang w:val="en-US" w:eastAsia="en-US" w:bidi="he-IL"/>
        </w:rPr>
        <w:t xml:space="preserve"> and site level.</w:t>
      </w:r>
    </w:p>
    <w:p w14:paraId="7F7EF6CA" w14:textId="660E9BE8" w:rsidR="009C0A76" w:rsidRPr="009C0A76" w:rsidRDefault="009C0A76" w:rsidP="009C0A76">
      <w:pPr>
        <w:pStyle w:val="ListParagraph"/>
        <w:numPr>
          <w:ilvl w:val="0"/>
          <w:numId w:val="110"/>
        </w:numPr>
        <w:jc w:val="both"/>
        <w:rPr>
          <w:rFonts w:asciiTheme="majorHAnsi" w:hAnsiTheme="majorHAnsi" w:cstheme="majorHAnsi"/>
          <w:sz w:val="20"/>
          <w:szCs w:val="20"/>
          <w:lang w:val="en-US" w:eastAsia="en-US" w:bidi="he-IL"/>
        </w:rPr>
      </w:pPr>
      <w:r w:rsidRPr="009C0A76">
        <w:rPr>
          <w:rFonts w:asciiTheme="majorHAnsi" w:hAnsiTheme="majorHAnsi" w:cstheme="majorHAnsi"/>
          <w:b/>
          <w:bCs/>
          <w:sz w:val="20"/>
          <w:szCs w:val="20"/>
          <w:lang w:val="en-US" w:eastAsia="en-US" w:bidi="he-IL"/>
        </w:rPr>
        <w:t xml:space="preserve">An aligned framework for quantifying and integrating nature-related risk into insurance </w:t>
      </w:r>
      <w:r>
        <w:rPr>
          <w:rFonts w:asciiTheme="majorHAnsi" w:hAnsiTheme="majorHAnsi" w:cstheme="majorHAnsi"/>
          <w:b/>
          <w:bCs/>
          <w:sz w:val="20"/>
          <w:szCs w:val="20"/>
          <w:lang w:val="en-US" w:eastAsia="en-US" w:bidi="he-IL"/>
        </w:rPr>
        <w:t>models</w:t>
      </w:r>
      <w:r w:rsidRPr="009C0A76">
        <w:rPr>
          <w:rFonts w:asciiTheme="majorHAnsi" w:hAnsiTheme="majorHAnsi" w:cstheme="majorHAnsi"/>
          <w:sz w:val="20"/>
          <w:szCs w:val="20"/>
          <w:lang w:val="en-US" w:eastAsia="en-US" w:bidi="he-IL"/>
        </w:rPr>
        <w:t>, including the ability to evidence where ecosystem degradation contributes to rising losses and where ecosystem resilience generates avoided losses. This framework will enable more systematic incorporation of ecosystem-condition factors into risk-assessment and modelling processes.</w:t>
      </w:r>
    </w:p>
    <w:p w14:paraId="6009DD25" w14:textId="4DFD9261" w:rsidR="009C0A76" w:rsidRDefault="009C0A76" w:rsidP="009C0A76">
      <w:pPr>
        <w:pStyle w:val="ListParagraph"/>
        <w:numPr>
          <w:ilvl w:val="0"/>
          <w:numId w:val="110"/>
        </w:numPr>
        <w:jc w:val="both"/>
        <w:rPr>
          <w:rFonts w:asciiTheme="majorHAnsi" w:hAnsiTheme="majorHAnsi" w:cstheme="majorHAnsi"/>
          <w:sz w:val="20"/>
          <w:szCs w:val="20"/>
          <w:lang w:val="en-US" w:eastAsia="en-US" w:bidi="he-IL"/>
        </w:rPr>
      </w:pPr>
      <w:r w:rsidRPr="009C0A76">
        <w:rPr>
          <w:rFonts w:asciiTheme="majorHAnsi" w:hAnsiTheme="majorHAnsi" w:cstheme="majorHAnsi"/>
          <w:b/>
          <w:bCs/>
          <w:sz w:val="20"/>
          <w:szCs w:val="20"/>
          <w:lang w:val="en-US" w:eastAsia="en-US" w:bidi="he-IL"/>
        </w:rPr>
        <w:t>Enhanced identification and quantification of nature-related opportunities</w:t>
      </w:r>
      <w:r w:rsidRPr="009C0A76">
        <w:rPr>
          <w:rFonts w:asciiTheme="majorHAnsi" w:hAnsiTheme="majorHAnsi" w:cstheme="majorHAnsi"/>
          <w:sz w:val="20"/>
          <w:szCs w:val="20"/>
          <w:lang w:val="en-US" w:eastAsia="en-US" w:bidi="he-IL"/>
        </w:rPr>
        <w:t>, including the risk-reduction value of nature-based solutions and the emergence of new nature-linked activities and business models that may require insurance coverage. This outcome supports the development of expanded risk-modelling inputs and reduces protection gaps associated with new or evolving risks.</w:t>
      </w:r>
    </w:p>
    <w:p w14:paraId="617BAE48" w14:textId="11D4F93E" w:rsidR="009C0A76" w:rsidRPr="009C0A76" w:rsidRDefault="009C0A76" w:rsidP="009C0A76">
      <w:pPr>
        <w:pStyle w:val="ListParagraph"/>
        <w:numPr>
          <w:ilvl w:val="0"/>
          <w:numId w:val="110"/>
        </w:numPr>
        <w:jc w:val="both"/>
        <w:rPr>
          <w:rFonts w:asciiTheme="majorHAnsi" w:hAnsiTheme="majorHAnsi" w:cstheme="majorHAnsi"/>
          <w:sz w:val="20"/>
          <w:szCs w:val="20"/>
          <w:lang w:val="en-US" w:eastAsia="en-US" w:bidi="he-IL"/>
        </w:rPr>
      </w:pPr>
      <w:r w:rsidRPr="009C0A76">
        <w:rPr>
          <w:rFonts w:asciiTheme="majorHAnsi" w:hAnsiTheme="majorHAnsi" w:cstheme="majorHAnsi"/>
          <w:b/>
          <w:bCs/>
          <w:sz w:val="20"/>
          <w:szCs w:val="20"/>
          <w:lang w:val="en-US" w:eastAsia="en-US" w:bidi="he-IL"/>
        </w:rPr>
        <w:t>Strengthened client engagement and underwriting practice</w:t>
      </w:r>
      <w:r w:rsidRPr="009C0A76">
        <w:rPr>
          <w:rFonts w:asciiTheme="majorHAnsi" w:hAnsiTheme="majorHAnsi" w:cstheme="majorHAnsi"/>
          <w:sz w:val="20"/>
          <w:szCs w:val="20"/>
          <w:lang w:val="en-US" w:eastAsia="en-US" w:bidi="he-IL"/>
        </w:rPr>
        <w:t xml:space="preserve">, enabling insurers to ask nature-relevant questions, support customer risk-awareness and mitigation, and refine underwriting guidelines and product structuring to reflect nature-related </w:t>
      </w:r>
      <w:r>
        <w:rPr>
          <w:rFonts w:asciiTheme="majorHAnsi" w:hAnsiTheme="majorHAnsi" w:cstheme="majorHAnsi"/>
          <w:sz w:val="20"/>
          <w:szCs w:val="20"/>
          <w:lang w:val="en-US" w:eastAsia="en-US" w:bidi="he-IL"/>
        </w:rPr>
        <w:t>risks</w:t>
      </w:r>
      <w:r w:rsidRPr="009C0A76">
        <w:rPr>
          <w:rFonts w:asciiTheme="majorHAnsi" w:hAnsiTheme="majorHAnsi" w:cstheme="majorHAnsi"/>
          <w:sz w:val="20"/>
          <w:szCs w:val="20"/>
          <w:lang w:val="en-US" w:eastAsia="en-US" w:bidi="he-IL"/>
        </w:rPr>
        <w:t>.</w:t>
      </w:r>
    </w:p>
    <w:p w14:paraId="1BC9CF29" w14:textId="77777777" w:rsidR="009C0A76" w:rsidRDefault="009C0A76" w:rsidP="00DC36C4">
      <w:pPr>
        <w:jc w:val="both"/>
        <w:rPr>
          <w:rFonts w:asciiTheme="majorHAnsi" w:hAnsiTheme="majorHAnsi" w:cstheme="majorHAnsi"/>
          <w:sz w:val="20"/>
          <w:szCs w:val="20"/>
          <w:lang w:val="en-US" w:eastAsia="en-US" w:bidi="he-IL"/>
        </w:rPr>
      </w:pPr>
    </w:p>
    <w:p w14:paraId="083AD9D8" w14:textId="6C17D522" w:rsidR="00386F2B" w:rsidRDefault="00AB2149" w:rsidP="009F0DFA">
      <w:pPr>
        <w:jc w:val="both"/>
        <w:rPr>
          <w:rFonts w:asciiTheme="majorHAnsi" w:hAnsiTheme="majorHAnsi" w:cstheme="majorHAnsi"/>
          <w:sz w:val="20"/>
          <w:szCs w:val="20"/>
          <w:lang w:val="en-US" w:eastAsia="en-US" w:bidi="he-IL"/>
        </w:rPr>
      </w:pPr>
      <w:r w:rsidRPr="00AB2149">
        <w:rPr>
          <w:rFonts w:asciiTheme="majorHAnsi" w:hAnsiTheme="majorHAnsi" w:cstheme="majorHAnsi"/>
          <w:sz w:val="20"/>
          <w:szCs w:val="20"/>
          <w:lang w:val="en-US" w:eastAsia="en-US" w:bidi="he-IL"/>
        </w:rPr>
        <w:lastRenderedPageBreak/>
        <w:t>In this context, the Working Group seeks to develop approaches that are pragmatic and decision-useful; support integration into business processes rather than standalone assessment; enable systematic application across portfolios rather than isolated pilots; foster greater alignment and consistency in quantification and interpretation; remain transferable for use by the wider industry; provide clearer and earlier risk signals for public- and private-sector decision-making; and contribute to systematically valuing and ultimately pricing nature within underwriting and risk-decision frameworks.</w:t>
      </w:r>
    </w:p>
    <w:p w14:paraId="541FCA1B" w14:textId="77777777" w:rsidR="00785C29" w:rsidRPr="008F2580" w:rsidRDefault="00785C29" w:rsidP="009F0DFA">
      <w:pPr>
        <w:jc w:val="both"/>
        <w:rPr>
          <w:rFonts w:asciiTheme="majorHAnsi" w:hAnsiTheme="majorHAnsi" w:cstheme="majorHAnsi"/>
          <w:sz w:val="20"/>
          <w:szCs w:val="20"/>
          <w:lang w:val="en-US" w:eastAsia="en-US" w:bidi="he-IL"/>
        </w:rPr>
      </w:pPr>
    </w:p>
    <w:p w14:paraId="687921CA" w14:textId="36DCCB89" w:rsidR="00EE22C7" w:rsidRPr="008F2580" w:rsidRDefault="00386F2B" w:rsidP="00EE22C7">
      <w:pPr>
        <w:pStyle w:val="Heading2"/>
        <w:rPr>
          <w:rFonts w:cstheme="majorHAnsi"/>
          <w:lang w:val="en-US"/>
        </w:rPr>
      </w:pPr>
      <w:bookmarkStart w:id="6" w:name="_Toc214867629"/>
      <w:r>
        <w:rPr>
          <w:rFonts w:cstheme="majorHAnsi"/>
          <w:lang w:val="en-US"/>
        </w:rPr>
        <w:t xml:space="preserve">Scope </w:t>
      </w:r>
      <w:r w:rsidR="00FE1D32">
        <w:rPr>
          <w:rFonts w:cstheme="majorHAnsi"/>
          <w:lang w:val="en-US"/>
        </w:rPr>
        <w:t>of the Project</w:t>
      </w:r>
      <w:bookmarkEnd w:id="6"/>
    </w:p>
    <w:p w14:paraId="0A123ACC" w14:textId="77777777" w:rsidR="00386F2B" w:rsidRDefault="00386F2B" w:rsidP="00386F2B">
      <w:pPr>
        <w:jc w:val="both"/>
        <w:rPr>
          <w:rFonts w:asciiTheme="majorHAnsi" w:hAnsiTheme="majorHAnsi" w:cstheme="majorHAnsi"/>
          <w:sz w:val="20"/>
          <w:szCs w:val="20"/>
          <w:lang w:val="en-US" w:eastAsia="en-US" w:bidi="he-IL"/>
        </w:rPr>
      </w:pPr>
    </w:p>
    <w:p w14:paraId="4D26CBA4" w14:textId="4EF4A22A" w:rsidR="00675BA0" w:rsidRPr="00675BA0" w:rsidRDefault="00675BA0" w:rsidP="00386F2B">
      <w:pPr>
        <w:jc w:val="both"/>
        <w:rPr>
          <w:rFonts w:asciiTheme="majorHAnsi" w:hAnsiTheme="majorHAnsi" w:cstheme="majorHAnsi"/>
          <w:b/>
          <w:bCs/>
          <w:sz w:val="20"/>
          <w:szCs w:val="20"/>
          <w:lang w:val="en-US" w:eastAsia="en-US" w:bidi="he-IL"/>
        </w:rPr>
      </w:pPr>
      <w:r w:rsidRPr="00675BA0">
        <w:rPr>
          <w:rFonts w:asciiTheme="majorHAnsi" w:hAnsiTheme="majorHAnsi" w:cstheme="majorHAnsi"/>
          <w:b/>
          <w:bCs/>
          <w:sz w:val="20"/>
          <w:szCs w:val="20"/>
          <w:lang w:val="en-US" w:eastAsia="en-US" w:bidi="he-IL"/>
        </w:rPr>
        <w:t>In Scope:</w:t>
      </w:r>
    </w:p>
    <w:p w14:paraId="4388CD37" w14:textId="77777777" w:rsidR="00675BA0" w:rsidRDefault="00675BA0" w:rsidP="00386F2B">
      <w:pPr>
        <w:jc w:val="both"/>
        <w:rPr>
          <w:rFonts w:asciiTheme="majorHAnsi" w:hAnsiTheme="majorHAnsi" w:cstheme="majorHAnsi"/>
          <w:sz w:val="20"/>
          <w:szCs w:val="20"/>
          <w:lang w:val="en-US" w:eastAsia="en-US" w:bidi="he-IL"/>
        </w:rPr>
      </w:pPr>
    </w:p>
    <w:p w14:paraId="0BDF1B84" w14:textId="19C11DCE" w:rsidR="00675BA0" w:rsidRPr="00386F2B" w:rsidRDefault="00675BA0" w:rsidP="00386F2B">
      <w:pPr>
        <w:jc w:val="both"/>
        <w:rPr>
          <w:rFonts w:asciiTheme="majorHAnsi" w:hAnsiTheme="majorHAnsi" w:cstheme="majorHAnsi"/>
          <w:sz w:val="20"/>
          <w:szCs w:val="20"/>
          <w:lang w:val="en-US" w:eastAsia="en-US" w:bidi="he-IL"/>
        </w:rPr>
      </w:pPr>
      <w:r w:rsidRPr="00675BA0">
        <w:rPr>
          <w:rFonts w:asciiTheme="majorHAnsi" w:hAnsiTheme="majorHAnsi" w:cstheme="majorHAnsi"/>
          <w:sz w:val="20"/>
          <w:szCs w:val="20"/>
          <w:lang w:val="en-US" w:eastAsia="en-US" w:bidi="he-IL"/>
        </w:rPr>
        <w:t>In scope of the project will be:</w:t>
      </w:r>
    </w:p>
    <w:p w14:paraId="1B8896F1" w14:textId="75DCA392" w:rsidR="00074011" w:rsidRPr="00074011" w:rsidRDefault="00074011" w:rsidP="00074011">
      <w:pPr>
        <w:pStyle w:val="ListParagraph"/>
        <w:numPr>
          <w:ilvl w:val="0"/>
          <w:numId w:val="90"/>
        </w:numPr>
        <w:jc w:val="both"/>
        <w:rPr>
          <w:rFonts w:asciiTheme="majorHAnsi" w:hAnsiTheme="majorHAnsi" w:cstheme="majorHAnsi"/>
          <w:sz w:val="20"/>
          <w:szCs w:val="20"/>
          <w:lang w:val="en-US" w:eastAsia="en-US" w:bidi="he-IL"/>
        </w:rPr>
      </w:pPr>
      <w:r w:rsidRPr="00074011">
        <w:rPr>
          <w:rFonts w:asciiTheme="majorHAnsi" w:hAnsiTheme="majorHAnsi" w:cstheme="majorHAnsi"/>
          <w:sz w:val="20"/>
          <w:szCs w:val="20"/>
          <w:lang w:val="en-US" w:eastAsia="en-US" w:bidi="he-IL"/>
        </w:rPr>
        <w:t>The project will focus on non-life / property and casualty (P&amp;C) insurance lines, as most relevant to the CTG</w:t>
      </w:r>
      <w:r>
        <w:rPr>
          <w:rFonts w:asciiTheme="majorHAnsi" w:hAnsiTheme="majorHAnsi" w:cstheme="majorHAnsi"/>
          <w:sz w:val="20"/>
          <w:szCs w:val="20"/>
          <w:lang w:val="en-US" w:eastAsia="en-US" w:bidi="he-IL"/>
        </w:rPr>
        <w:t xml:space="preserve"> members in the first instance</w:t>
      </w:r>
      <w:r w:rsidRPr="00074011">
        <w:rPr>
          <w:rFonts w:asciiTheme="majorHAnsi" w:hAnsiTheme="majorHAnsi" w:cstheme="majorHAnsi"/>
          <w:sz w:val="20"/>
          <w:szCs w:val="20"/>
          <w:lang w:val="en-US" w:eastAsia="en-US" w:bidi="he-IL"/>
        </w:rPr>
        <w:t xml:space="preserve">. Expansion to other lines, such as life &amp; health insurance, may </w:t>
      </w:r>
      <w:r>
        <w:rPr>
          <w:rFonts w:asciiTheme="majorHAnsi" w:hAnsiTheme="majorHAnsi" w:cstheme="majorHAnsi"/>
          <w:sz w:val="20"/>
          <w:szCs w:val="20"/>
          <w:lang w:val="en-US" w:eastAsia="en-US" w:bidi="he-IL"/>
        </w:rPr>
        <w:t>be considered at</w:t>
      </w:r>
      <w:r w:rsidRPr="00074011">
        <w:rPr>
          <w:rFonts w:asciiTheme="majorHAnsi" w:hAnsiTheme="majorHAnsi" w:cstheme="majorHAnsi"/>
          <w:sz w:val="20"/>
          <w:szCs w:val="20"/>
          <w:lang w:val="en-US" w:eastAsia="en-US" w:bidi="he-IL"/>
        </w:rPr>
        <w:t xml:space="preserve"> a later stage.</w:t>
      </w:r>
    </w:p>
    <w:p w14:paraId="62136D98" w14:textId="15C37CF2" w:rsidR="00074011" w:rsidRPr="00074011" w:rsidRDefault="00074011" w:rsidP="00074011">
      <w:pPr>
        <w:pStyle w:val="ListParagraph"/>
        <w:numPr>
          <w:ilvl w:val="0"/>
          <w:numId w:val="90"/>
        </w:numPr>
        <w:jc w:val="both"/>
        <w:rPr>
          <w:rFonts w:asciiTheme="majorHAnsi" w:hAnsiTheme="majorHAnsi" w:cstheme="majorHAnsi"/>
          <w:sz w:val="20"/>
          <w:szCs w:val="20"/>
          <w:lang w:val="en-US" w:eastAsia="en-US" w:bidi="he-IL"/>
        </w:rPr>
      </w:pPr>
      <w:r w:rsidRPr="00074011">
        <w:rPr>
          <w:rFonts w:asciiTheme="majorHAnsi" w:hAnsiTheme="majorHAnsi" w:cstheme="majorHAnsi"/>
          <w:sz w:val="20"/>
          <w:szCs w:val="20"/>
          <w:lang w:val="en-US" w:eastAsia="en-US" w:bidi="he-IL"/>
        </w:rPr>
        <w:t xml:space="preserve">The primary emphasis will be on advancing approaches for nature-related physical risks and opportunities. A light-touch, </w:t>
      </w:r>
      <w:r>
        <w:rPr>
          <w:rFonts w:asciiTheme="majorHAnsi" w:hAnsiTheme="majorHAnsi" w:cstheme="majorHAnsi"/>
          <w:sz w:val="20"/>
          <w:szCs w:val="20"/>
          <w:lang w:val="en-US" w:eastAsia="en-US" w:bidi="he-IL"/>
        </w:rPr>
        <w:t>desktop</w:t>
      </w:r>
      <w:r w:rsidRPr="00074011">
        <w:rPr>
          <w:rFonts w:asciiTheme="majorHAnsi" w:hAnsiTheme="majorHAnsi" w:cstheme="majorHAnsi"/>
          <w:sz w:val="20"/>
          <w:szCs w:val="20"/>
          <w:lang w:val="en-US" w:eastAsia="en-US" w:bidi="he-IL"/>
        </w:rPr>
        <w:t xml:space="preserve"> review of transition-related risks and opportunities may be included where members have interest and capacity.</w:t>
      </w:r>
    </w:p>
    <w:p w14:paraId="1E605C74" w14:textId="2405DB9E" w:rsidR="00074011" w:rsidRPr="00074011" w:rsidRDefault="00074011" w:rsidP="00074011">
      <w:pPr>
        <w:pStyle w:val="ListParagraph"/>
        <w:numPr>
          <w:ilvl w:val="0"/>
          <w:numId w:val="90"/>
        </w:numPr>
        <w:jc w:val="both"/>
        <w:rPr>
          <w:rFonts w:asciiTheme="majorHAnsi" w:hAnsiTheme="majorHAnsi" w:cstheme="majorHAnsi"/>
          <w:sz w:val="20"/>
          <w:szCs w:val="20"/>
          <w:lang w:val="en-US" w:eastAsia="en-US" w:bidi="he-IL"/>
        </w:rPr>
      </w:pPr>
      <w:r w:rsidRPr="00074011">
        <w:rPr>
          <w:rFonts w:asciiTheme="majorHAnsi" w:hAnsiTheme="majorHAnsi" w:cstheme="majorHAnsi"/>
          <w:sz w:val="20"/>
          <w:szCs w:val="20"/>
          <w:lang w:val="en-US" w:eastAsia="en-US" w:bidi="he-IL"/>
        </w:rPr>
        <w:t>The work will incorporate the insurer’s role as</w:t>
      </w:r>
      <w:r>
        <w:rPr>
          <w:rFonts w:asciiTheme="majorHAnsi" w:hAnsiTheme="majorHAnsi" w:cstheme="majorHAnsi"/>
          <w:sz w:val="20"/>
          <w:szCs w:val="20"/>
          <w:lang w:val="en-US" w:eastAsia="en-US" w:bidi="he-IL"/>
        </w:rPr>
        <w:t xml:space="preserve"> </w:t>
      </w:r>
      <w:r w:rsidRPr="00074011">
        <w:rPr>
          <w:rFonts w:asciiTheme="majorHAnsi" w:hAnsiTheme="majorHAnsi" w:cstheme="majorHAnsi"/>
          <w:sz w:val="20"/>
          <w:szCs w:val="20"/>
          <w:lang w:val="en-US" w:eastAsia="en-US" w:bidi="he-IL"/>
        </w:rPr>
        <w:t xml:space="preserve">risk manager, strengthening the ability to understand, assess and quantify nature-related risks for specific clients, </w:t>
      </w:r>
      <w:proofErr w:type="gramStart"/>
      <w:r w:rsidRPr="00074011">
        <w:rPr>
          <w:rFonts w:asciiTheme="majorHAnsi" w:hAnsiTheme="majorHAnsi" w:cstheme="majorHAnsi"/>
          <w:sz w:val="20"/>
          <w:szCs w:val="20"/>
          <w:lang w:val="en-US" w:eastAsia="en-US" w:bidi="he-IL"/>
        </w:rPr>
        <w:t>sectors</w:t>
      </w:r>
      <w:proofErr w:type="gramEnd"/>
      <w:r w:rsidRPr="00074011">
        <w:rPr>
          <w:rFonts w:asciiTheme="majorHAnsi" w:hAnsiTheme="majorHAnsi" w:cstheme="majorHAnsi"/>
          <w:sz w:val="20"/>
          <w:szCs w:val="20"/>
          <w:lang w:val="en-US" w:eastAsia="en-US" w:bidi="he-IL"/>
        </w:rPr>
        <w:t xml:space="preserve"> and regions.</w:t>
      </w:r>
    </w:p>
    <w:p w14:paraId="71C787C2" w14:textId="53E863B1" w:rsidR="00074011" w:rsidRPr="00074011" w:rsidRDefault="00074011" w:rsidP="00074011">
      <w:pPr>
        <w:pStyle w:val="ListParagraph"/>
        <w:numPr>
          <w:ilvl w:val="0"/>
          <w:numId w:val="90"/>
        </w:numPr>
        <w:jc w:val="both"/>
        <w:rPr>
          <w:rFonts w:asciiTheme="majorHAnsi" w:hAnsiTheme="majorHAnsi" w:cstheme="majorHAnsi"/>
          <w:sz w:val="20"/>
          <w:szCs w:val="20"/>
          <w:lang w:val="en-US" w:eastAsia="en-US" w:bidi="he-IL"/>
        </w:rPr>
      </w:pPr>
      <w:r w:rsidRPr="00074011">
        <w:rPr>
          <w:rFonts w:asciiTheme="majorHAnsi" w:hAnsiTheme="majorHAnsi" w:cstheme="majorHAnsi"/>
          <w:sz w:val="20"/>
          <w:szCs w:val="20"/>
          <w:lang w:val="en-US" w:eastAsia="en-US" w:bidi="he-IL"/>
        </w:rPr>
        <w:t>It will also encompass the insurer’s role as</w:t>
      </w:r>
      <w:r>
        <w:rPr>
          <w:rFonts w:asciiTheme="majorHAnsi" w:hAnsiTheme="majorHAnsi" w:cstheme="majorHAnsi"/>
          <w:sz w:val="20"/>
          <w:szCs w:val="20"/>
          <w:lang w:val="en-US" w:eastAsia="en-US" w:bidi="he-IL"/>
        </w:rPr>
        <w:t xml:space="preserve"> </w:t>
      </w:r>
      <w:r w:rsidRPr="00074011">
        <w:rPr>
          <w:rFonts w:asciiTheme="majorHAnsi" w:hAnsiTheme="majorHAnsi" w:cstheme="majorHAnsi"/>
          <w:sz w:val="20"/>
          <w:szCs w:val="20"/>
          <w:lang w:val="en-US" w:eastAsia="en-US" w:bidi="he-IL"/>
        </w:rPr>
        <w:t xml:space="preserve">risk carrier, by developing a baseline of approaches for risk-screening at the customer, </w:t>
      </w:r>
      <w:proofErr w:type="gramStart"/>
      <w:r w:rsidRPr="00074011">
        <w:rPr>
          <w:rFonts w:asciiTheme="majorHAnsi" w:hAnsiTheme="majorHAnsi" w:cstheme="majorHAnsi"/>
          <w:sz w:val="20"/>
          <w:szCs w:val="20"/>
          <w:lang w:val="en-US" w:eastAsia="en-US" w:bidi="he-IL"/>
        </w:rPr>
        <w:t>asset</w:t>
      </w:r>
      <w:proofErr w:type="gramEnd"/>
      <w:r w:rsidRPr="00074011">
        <w:rPr>
          <w:rFonts w:asciiTheme="majorHAnsi" w:hAnsiTheme="majorHAnsi" w:cstheme="majorHAnsi"/>
          <w:sz w:val="20"/>
          <w:szCs w:val="20"/>
          <w:lang w:val="en-US" w:eastAsia="en-US" w:bidi="he-IL"/>
        </w:rPr>
        <w:t xml:space="preserve"> and location level, and exploring methods relevant for risk quantification — including how existing catastrophe models or emerging risk-modelling approaches could incorporate nature-related considerations at the policy level.</w:t>
      </w:r>
    </w:p>
    <w:p w14:paraId="0EB01178" w14:textId="78FF94B3" w:rsidR="00074011" w:rsidRPr="00074011" w:rsidRDefault="00074011" w:rsidP="00074011">
      <w:pPr>
        <w:pStyle w:val="ListParagraph"/>
        <w:numPr>
          <w:ilvl w:val="0"/>
          <w:numId w:val="90"/>
        </w:numPr>
        <w:jc w:val="both"/>
        <w:rPr>
          <w:rFonts w:asciiTheme="majorHAnsi" w:hAnsiTheme="majorHAnsi" w:cstheme="majorHAnsi"/>
          <w:sz w:val="20"/>
          <w:szCs w:val="20"/>
          <w:lang w:val="en-US" w:eastAsia="en-US" w:bidi="he-IL"/>
        </w:rPr>
      </w:pPr>
      <w:r w:rsidRPr="00074011">
        <w:rPr>
          <w:rFonts w:asciiTheme="majorHAnsi" w:hAnsiTheme="majorHAnsi" w:cstheme="majorHAnsi"/>
          <w:sz w:val="20"/>
          <w:szCs w:val="20"/>
          <w:lang w:val="en-US" w:eastAsia="en-US" w:bidi="he-IL"/>
        </w:rPr>
        <w:t xml:space="preserve">The project will explore approaches that support portfolio-level risk screening and directional risk-steering for reporting and </w:t>
      </w:r>
      <w:r w:rsidR="00270DC1">
        <w:rPr>
          <w:rFonts w:asciiTheme="majorHAnsi" w:hAnsiTheme="majorHAnsi" w:cstheme="majorHAnsi"/>
          <w:sz w:val="20"/>
          <w:szCs w:val="20"/>
          <w:lang w:val="en-US" w:eastAsia="en-US" w:bidi="he-IL"/>
        </w:rPr>
        <w:t>monitoring</w:t>
      </w:r>
      <w:r w:rsidRPr="00074011">
        <w:rPr>
          <w:rFonts w:asciiTheme="majorHAnsi" w:hAnsiTheme="majorHAnsi" w:cstheme="majorHAnsi"/>
          <w:sz w:val="20"/>
          <w:szCs w:val="20"/>
          <w:lang w:val="en-US" w:eastAsia="en-US" w:bidi="he-IL"/>
        </w:rPr>
        <w:t xml:space="preserve"> purposes, without conducting full portfolio-level </w:t>
      </w:r>
      <w:r w:rsidR="00270DC1">
        <w:rPr>
          <w:rFonts w:asciiTheme="majorHAnsi" w:hAnsiTheme="majorHAnsi" w:cstheme="majorHAnsi"/>
          <w:sz w:val="20"/>
          <w:szCs w:val="20"/>
          <w:lang w:val="en-US" w:eastAsia="en-US" w:bidi="he-IL"/>
        </w:rPr>
        <w:t>risk assessments and modelling</w:t>
      </w:r>
      <w:r w:rsidRPr="00074011">
        <w:rPr>
          <w:rFonts w:asciiTheme="majorHAnsi" w:hAnsiTheme="majorHAnsi" w:cstheme="majorHAnsi"/>
          <w:sz w:val="20"/>
          <w:szCs w:val="20"/>
          <w:lang w:val="en-US" w:eastAsia="en-US" w:bidi="he-IL"/>
        </w:rPr>
        <w:t>.</w:t>
      </w:r>
    </w:p>
    <w:p w14:paraId="618A47BF" w14:textId="77777777" w:rsidR="00675BA0" w:rsidRDefault="00675BA0" w:rsidP="00386F2B">
      <w:pPr>
        <w:jc w:val="both"/>
        <w:rPr>
          <w:rFonts w:asciiTheme="majorHAnsi" w:hAnsiTheme="majorHAnsi" w:cstheme="majorHAnsi"/>
          <w:b/>
          <w:bCs/>
          <w:sz w:val="20"/>
          <w:szCs w:val="20"/>
          <w:lang w:val="en-US" w:eastAsia="en-US" w:bidi="he-IL"/>
        </w:rPr>
      </w:pPr>
    </w:p>
    <w:p w14:paraId="08A28E06" w14:textId="20A1280D" w:rsidR="00386F2B" w:rsidRPr="00675BA0" w:rsidRDefault="00675BA0" w:rsidP="00386F2B">
      <w:pPr>
        <w:jc w:val="both"/>
        <w:rPr>
          <w:rFonts w:asciiTheme="majorHAnsi" w:hAnsiTheme="majorHAnsi" w:cstheme="majorHAnsi"/>
          <w:b/>
          <w:bCs/>
          <w:sz w:val="20"/>
          <w:szCs w:val="20"/>
          <w:lang w:val="en-US" w:eastAsia="en-US" w:bidi="he-IL"/>
        </w:rPr>
      </w:pPr>
      <w:r w:rsidRPr="00675BA0">
        <w:rPr>
          <w:rFonts w:asciiTheme="majorHAnsi" w:hAnsiTheme="majorHAnsi" w:cstheme="majorHAnsi"/>
          <w:b/>
          <w:bCs/>
          <w:sz w:val="20"/>
          <w:szCs w:val="20"/>
          <w:lang w:val="en-US" w:eastAsia="en-US" w:bidi="he-IL"/>
        </w:rPr>
        <w:t>Out of Scope:</w:t>
      </w:r>
    </w:p>
    <w:p w14:paraId="33E55A49" w14:textId="77777777" w:rsidR="00675BA0" w:rsidRDefault="00675BA0" w:rsidP="00675BA0">
      <w:pPr>
        <w:jc w:val="both"/>
        <w:rPr>
          <w:rFonts w:asciiTheme="majorHAnsi" w:hAnsiTheme="majorHAnsi" w:cstheme="majorHAnsi"/>
          <w:sz w:val="20"/>
          <w:szCs w:val="20"/>
          <w:lang w:val="en-US" w:eastAsia="en-US" w:bidi="he-IL"/>
        </w:rPr>
      </w:pPr>
    </w:p>
    <w:p w14:paraId="5721AEE5" w14:textId="492F3A88" w:rsidR="00675BA0" w:rsidRPr="00675BA0" w:rsidRDefault="00675BA0" w:rsidP="00675BA0">
      <w:pPr>
        <w:jc w:val="both"/>
        <w:rPr>
          <w:rFonts w:asciiTheme="majorHAnsi" w:hAnsiTheme="majorHAnsi" w:cstheme="majorHAnsi"/>
          <w:sz w:val="20"/>
          <w:szCs w:val="20"/>
          <w:lang w:val="en-US" w:eastAsia="en-US" w:bidi="he-IL"/>
        </w:rPr>
      </w:pPr>
      <w:r w:rsidRPr="00675BA0">
        <w:rPr>
          <w:rFonts w:asciiTheme="majorHAnsi" w:hAnsiTheme="majorHAnsi" w:cstheme="majorHAnsi"/>
          <w:sz w:val="20"/>
          <w:szCs w:val="20"/>
          <w:lang w:val="en-US" w:eastAsia="en-US" w:bidi="he-IL"/>
        </w:rPr>
        <w:t>The project will not include:</w:t>
      </w:r>
    </w:p>
    <w:p w14:paraId="423F7C3B" w14:textId="24DE8CCF" w:rsidR="00675BA0" w:rsidRPr="00675BA0" w:rsidRDefault="00675BA0" w:rsidP="00675BA0">
      <w:pPr>
        <w:pStyle w:val="ListParagraph"/>
        <w:numPr>
          <w:ilvl w:val="0"/>
          <w:numId w:val="91"/>
        </w:numPr>
        <w:jc w:val="both"/>
        <w:rPr>
          <w:rFonts w:asciiTheme="majorHAnsi" w:hAnsiTheme="majorHAnsi" w:cstheme="majorHAnsi"/>
          <w:sz w:val="20"/>
          <w:szCs w:val="20"/>
          <w:lang w:val="en-US" w:eastAsia="en-US" w:bidi="he-IL"/>
        </w:rPr>
      </w:pPr>
      <w:r w:rsidRPr="00675BA0">
        <w:rPr>
          <w:rFonts w:asciiTheme="majorHAnsi" w:hAnsiTheme="majorHAnsi" w:cstheme="majorHAnsi"/>
          <w:sz w:val="20"/>
          <w:szCs w:val="20"/>
          <w:lang w:val="en-US" w:eastAsia="en-US" w:bidi="he-IL"/>
        </w:rPr>
        <w:t xml:space="preserve">Portfolio-level, </w:t>
      </w:r>
      <w:r w:rsidR="00270DC1">
        <w:rPr>
          <w:rFonts w:asciiTheme="majorHAnsi" w:hAnsiTheme="majorHAnsi" w:cstheme="majorHAnsi"/>
          <w:sz w:val="20"/>
          <w:szCs w:val="20"/>
          <w:lang w:val="en-US" w:eastAsia="en-US" w:bidi="he-IL"/>
        </w:rPr>
        <w:t>“</w:t>
      </w:r>
      <w:r w:rsidRPr="00675BA0">
        <w:rPr>
          <w:rFonts w:asciiTheme="majorHAnsi" w:hAnsiTheme="majorHAnsi" w:cstheme="majorHAnsi"/>
          <w:sz w:val="20"/>
          <w:szCs w:val="20"/>
          <w:lang w:val="en-US" w:eastAsia="en-US" w:bidi="he-IL"/>
        </w:rPr>
        <w:t>top-down</w:t>
      </w:r>
      <w:r w:rsidR="00270DC1">
        <w:rPr>
          <w:rFonts w:asciiTheme="majorHAnsi" w:hAnsiTheme="majorHAnsi" w:cstheme="majorHAnsi"/>
          <w:sz w:val="20"/>
          <w:szCs w:val="20"/>
          <w:lang w:val="en-US" w:eastAsia="en-US" w:bidi="he-IL"/>
        </w:rPr>
        <w:t xml:space="preserve">” </w:t>
      </w:r>
      <w:r w:rsidRPr="00675BA0">
        <w:rPr>
          <w:rFonts w:asciiTheme="majorHAnsi" w:hAnsiTheme="majorHAnsi" w:cstheme="majorHAnsi"/>
          <w:sz w:val="20"/>
          <w:szCs w:val="20"/>
          <w:lang w:val="en-US" w:eastAsia="en-US" w:bidi="he-IL"/>
        </w:rPr>
        <w:t xml:space="preserve">or systemic risk assessments, including full ORSA or Pillar 2 </w:t>
      </w:r>
      <w:r>
        <w:rPr>
          <w:rFonts w:asciiTheme="majorHAnsi" w:hAnsiTheme="majorHAnsi" w:cstheme="majorHAnsi"/>
          <w:sz w:val="20"/>
          <w:szCs w:val="20"/>
          <w:lang w:val="en-US" w:eastAsia="en-US" w:bidi="he-IL"/>
        </w:rPr>
        <w:t>risk assessments</w:t>
      </w:r>
      <w:r w:rsidRPr="00675BA0">
        <w:rPr>
          <w:rFonts w:asciiTheme="majorHAnsi" w:hAnsiTheme="majorHAnsi" w:cstheme="majorHAnsi"/>
          <w:sz w:val="20"/>
          <w:szCs w:val="20"/>
          <w:lang w:val="en-US" w:eastAsia="en-US" w:bidi="he-IL"/>
        </w:rPr>
        <w:t>. However, insights generated through this project may support such assessments indirectly.</w:t>
      </w:r>
    </w:p>
    <w:p w14:paraId="188DB2A3" w14:textId="77777777" w:rsidR="00675BA0" w:rsidRPr="00675BA0" w:rsidRDefault="00675BA0" w:rsidP="00675BA0">
      <w:pPr>
        <w:pStyle w:val="ListParagraph"/>
        <w:numPr>
          <w:ilvl w:val="0"/>
          <w:numId w:val="91"/>
        </w:numPr>
        <w:jc w:val="both"/>
        <w:rPr>
          <w:rFonts w:asciiTheme="majorHAnsi" w:hAnsiTheme="majorHAnsi" w:cstheme="majorHAnsi"/>
          <w:sz w:val="20"/>
          <w:szCs w:val="20"/>
          <w:lang w:val="en-US" w:eastAsia="en-US" w:bidi="he-IL"/>
        </w:rPr>
      </w:pPr>
      <w:r w:rsidRPr="00675BA0">
        <w:rPr>
          <w:rFonts w:asciiTheme="majorHAnsi" w:hAnsiTheme="majorHAnsi" w:cstheme="majorHAnsi"/>
          <w:sz w:val="20"/>
          <w:szCs w:val="20"/>
          <w:lang w:val="en-US" w:eastAsia="en-US" w:bidi="he-IL"/>
        </w:rPr>
        <w:t>Designing or recalibrating catastrophe models, pricing models or capital models, acknowledging that the project may provide useful inputs or frameworks that could later inform model development or refinement.</w:t>
      </w:r>
    </w:p>
    <w:p w14:paraId="5F2F2384" w14:textId="0F385EF1" w:rsidR="00676306" w:rsidRDefault="00675BA0" w:rsidP="00675BA0">
      <w:pPr>
        <w:pStyle w:val="ListParagraph"/>
        <w:numPr>
          <w:ilvl w:val="0"/>
          <w:numId w:val="91"/>
        </w:numPr>
        <w:jc w:val="both"/>
        <w:rPr>
          <w:rFonts w:asciiTheme="majorHAnsi" w:hAnsiTheme="majorHAnsi" w:cstheme="majorHAnsi"/>
          <w:sz w:val="20"/>
          <w:szCs w:val="20"/>
          <w:lang w:val="en-US" w:eastAsia="en-US" w:bidi="he-IL"/>
        </w:rPr>
      </w:pPr>
      <w:r w:rsidRPr="00675BA0">
        <w:rPr>
          <w:rFonts w:asciiTheme="majorHAnsi" w:hAnsiTheme="majorHAnsi" w:cstheme="majorHAnsi"/>
          <w:sz w:val="20"/>
          <w:szCs w:val="20"/>
          <w:lang w:val="en-US" w:eastAsia="en-US" w:bidi="he-IL"/>
        </w:rPr>
        <w:t xml:space="preserve">Developing </w:t>
      </w:r>
      <w:r w:rsidR="00270DC1">
        <w:rPr>
          <w:rFonts w:asciiTheme="majorHAnsi" w:hAnsiTheme="majorHAnsi" w:cstheme="majorHAnsi"/>
          <w:sz w:val="20"/>
          <w:szCs w:val="20"/>
          <w:lang w:val="en-US" w:eastAsia="en-US" w:bidi="he-IL"/>
        </w:rPr>
        <w:t xml:space="preserve">or applying </w:t>
      </w:r>
      <w:r w:rsidRPr="00675BA0">
        <w:rPr>
          <w:rFonts w:asciiTheme="majorHAnsi" w:hAnsiTheme="majorHAnsi" w:cstheme="majorHAnsi"/>
          <w:sz w:val="20"/>
          <w:szCs w:val="20"/>
          <w:lang w:val="en-US" w:eastAsia="en-US" w:bidi="he-IL"/>
        </w:rPr>
        <w:t>global nature-related scenarios</w:t>
      </w:r>
      <w:r w:rsidR="00270DC1">
        <w:rPr>
          <w:rFonts w:asciiTheme="majorHAnsi" w:hAnsiTheme="majorHAnsi" w:cstheme="majorHAnsi"/>
          <w:sz w:val="20"/>
          <w:szCs w:val="20"/>
          <w:lang w:val="en-US" w:eastAsia="en-US" w:bidi="he-IL"/>
        </w:rPr>
        <w:t xml:space="preserve"> or considering macro-economic transmission channels</w:t>
      </w:r>
      <w:r w:rsidRPr="00675BA0">
        <w:rPr>
          <w:rFonts w:asciiTheme="majorHAnsi" w:hAnsiTheme="majorHAnsi" w:cstheme="majorHAnsi"/>
          <w:sz w:val="20"/>
          <w:szCs w:val="20"/>
          <w:lang w:val="en-US" w:eastAsia="en-US" w:bidi="he-IL"/>
        </w:rPr>
        <w:t xml:space="preserve">, given current methodological limitations and lack of standardized, </w:t>
      </w:r>
      <w:r>
        <w:rPr>
          <w:rFonts w:asciiTheme="majorHAnsi" w:hAnsiTheme="majorHAnsi" w:cstheme="majorHAnsi"/>
          <w:sz w:val="20"/>
          <w:szCs w:val="20"/>
          <w:lang w:val="en-US" w:eastAsia="en-US" w:bidi="he-IL"/>
        </w:rPr>
        <w:t>global</w:t>
      </w:r>
      <w:r w:rsidRPr="00675BA0">
        <w:rPr>
          <w:rFonts w:asciiTheme="majorHAnsi" w:hAnsiTheme="majorHAnsi" w:cstheme="majorHAnsi"/>
          <w:sz w:val="20"/>
          <w:szCs w:val="20"/>
          <w:lang w:val="en-US" w:eastAsia="en-US" w:bidi="he-IL"/>
        </w:rPr>
        <w:t xml:space="preserve"> scenario sets.</w:t>
      </w:r>
    </w:p>
    <w:p w14:paraId="0596423B" w14:textId="4B533238" w:rsidR="004041C1" w:rsidRDefault="004041C1">
      <w:pPr>
        <w:spacing w:after="160" w:line="259" w:lineRule="auto"/>
        <w:rPr>
          <w:rFonts w:asciiTheme="majorHAnsi" w:hAnsiTheme="majorHAnsi" w:cstheme="majorHAnsi"/>
          <w:sz w:val="20"/>
          <w:szCs w:val="20"/>
          <w:lang w:val="en-US" w:eastAsia="en-US" w:bidi="he-IL"/>
        </w:rPr>
      </w:pPr>
      <w:r>
        <w:rPr>
          <w:rFonts w:asciiTheme="majorHAnsi" w:hAnsiTheme="majorHAnsi" w:cstheme="majorHAnsi"/>
          <w:sz w:val="20"/>
          <w:szCs w:val="20"/>
          <w:lang w:val="en-US" w:eastAsia="en-US" w:bidi="he-IL"/>
        </w:rPr>
        <w:br w:type="page"/>
      </w:r>
    </w:p>
    <w:p w14:paraId="75D8FD7D" w14:textId="2F45445D" w:rsidR="00795CA9" w:rsidRPr="004A4735" w:rsidRDefault="00386F2B" w:rsidP="009A273A">
      <w:pPr>
        <w:pStyle w:val="Heading1"/>
        <w:rPr>
          <w:lang w:val="en-US"/>
        </w:rPr>
      </w:pPr>
      <w:bookmarkStart w:id="7" w:name="_Toc214867630"/>
      <w:r>
        <w:rPr>
          <w:lang w:val="en-US"/>
        </w:rPr>
        <w:lastRenderedPageBreak/>
        <w:t>The How</w:t>
      </w:r>
      <w:bookmarkEnd w:id="7"/>
    </w:p>
    <w:p w14:paraId="2081A909" w14:textId="67885F2E" w:rsidR="009370B9" w:rsidRPr="004D6FFB" w:rsidRDefault="00386F2B" w:rsidP="00795CA9">
      <w:pPr>
        <w:pStyle w:val="Heading2"/>
        <w:rPr>
          <w:lang w:val="en-US"/>
        </w:rPr>
      </w:pPr>
      <w:bookmarkStart w:id="8" w:name="_Toc214867631"/>
      <w:r w:rsidRPr="004D6FFB">
        <w:rPr>
          <w:lang w:val="en-US"/>
        </w:rPr>
        <w:t>High-Level Approach</w:t>
      </w:r>
      <w:r w:rsidR="00D15166">
        <w:rPr>
          <w:lang w:val="en-US"/>
        </w:rPr>
        <w:t xml:space="preserve"> for the Project</w:t>
      </w:r>
      <w:bookmarkEnd w:id="8"/>
    </w:p>
    <w:p w14:paraId="293E8514" w14:textId="77777777" w:rsidR="00D602E3" w:rsidRDefault="00D602E3" w:rsidP="00D602E3">
      <w:pPr>
        <w:rPr>
          <w:rFonts w:asciiTheme="majorHAnsi" w:hAnsiTheme="majorHAnsi" w:cstheme="majorHAnsi"/>
          <w:sz w:val="20"/>
          <w:szCs w:val="20"/>
          <w:lang w:val="en-US" w:eastAsia="en-US" w:bidi="he-IL"/>
        </w:rPr>
      </w:pPr>
    </w:p>
    <w:p w14:paraId="17B04F7D" w14:textId="364D5B7E" w:rsidR="004041C1" w:rsidRDefault="004041C1" w:rsidP="004041C1">
      <w:pPr>
        <w:rPr>
          <w:rFonts w:asciiTheme="majorHAnsi" w:hAnsiTheme="majorHAnsi" w:cstheme="majorHAnsi"/>
          <w:sz w:val="20"/>
          <w:szCs w:val="20"/>
          <w:lang w:val="en-US" w:eastAsia="en-US" w:bidi="he-IL"/>
        </w:rPr>
      </w:pPr>
      <w:r w:rsidRPr="004041C1">
        <w:rPr>
          <w:rFonts w:asciiTheme="majorHAnsi" w:hAnsiTheme="majorHAnsi" w:cstheme="majorHAnsi"/>
          <w:sz w:val="20"/>
          <w:szCs w:val="20"/>
          <w:lang w:val="en-US" w:eastAsia="en-US" w:bidi="he-IL"/>
        </w:rPr>
        <w:t>The project will be organized into components to enable a phased approach and to allow CTG members to select the areas where they wish to focus their contributions.</w:t>
      </w:r>
    </w:p>
    <w:p w14:paraId="51A884E4" w14:textId="77777777" w:rsidR="004041C1" w:rsidRPr="004041C1" w:rsidRDefault="004041C1" w:rsidP="004041C1">
      <w:pPr>
        <w:rPr>
          <w:rFonts w:asciiTheme="majorHAnsi" w:hAnsiTheme="majorHAnsi" w:cstheme="majorHAnsi"/>
          <w:sz w:val="20"/>
          <w:szCs w:val="20"/>
          <w:lang w:val="en-US" w:eastAsia="en-US" w:bidi="he-IL"/>
        </w:rPr>
      </w:pPr>
    </w:p>
    <w:p w14:paraId="1142866B" w14:textId="18F5C36A" w:rsidR="00650A4A" w:rsidRPr="0024256B" w:rsidRDefault="004041C1" w:rsidP="0024256B">
      <w:pPr>
        <w:rPr>
          <w:rFonts w:asciiTheme="majorHAnsi" w:hAnsiTheme="majorHAnsi" w:cstheme="majorHAnsi"/>
          <w:sz w:val="20"/>
          <w:szCs w:val="20"/>
          <w:lang w:val="en-US" w:eastAsia="en-US" w:bidi="he-IL"/>
        </w:rPr>
      </w:pPr>
      <w:r w:rsidRPr="004041C1">
        <w:rPr>
          <w:rFonts w:asciiTheme="majorHAnsi" w:hAnsiTheme="majorHAnsi" w:cstheme="majorHAnsi"/>
          <w:sz w:val="20"/>
          <w:szCs w:val="20"/>
          <w:lang w:val="en-US" w:eastAsia="en-US" w:bidi="he-IL"/>
        </w:rPr>
        <w:t>CTG members and technical partners will draft the proposed methodologies for each component, which will be reviewed collectively. CTG members will then test these approaches and provide feedback to ensure that they are practical and applicable for the insurance industry.</w:t>
      </w:r>
    </w:p>
    <w:p w14:paraId="756E2F40" w14:textId="77777777" w:rsidR="00650A4A" w:rsidRDefault="00650A4A" w:rsidP="004041C1">
      <w:pPr>
        <w:rPr>
          <w:rFonts w:asciiTheme="majorHAnsi" w:hAnsiTheme="majorHAnsi" w:cstheme="majorHAnsi"/>
          <w:sz w:val="20"/>
          <w:szCs w:val="20"/>
          <w:lang w:val="en-US" w:eastAsia="en-US" w:bidi="he-IL"/>
        </w:rPr>
      </w:pPr>
    </w:p>
    <w:p w14:paraId="0DDCB448" w14:textId="77777777" w:rsidR="004041C1" w:rsidRPr="00AB2149" w:rsidRDefault="004041C1" w:rsidP="004041C1">
      <w:pPr>
        <w:rPr>
          <w:rFonts w:asciiTheme="majorHAnsi" w:hAnsiTheme="majorHAnsi" w:cstheme="majorHAnsi"/>
          <w:sz w:val="20"/>
          <w:szCs w:val="20"/>
          <w:lang w:val="en-US" w:eastAsia="en-US" w:bidi="he-IL"/>
        </w:rPr>
      </w:pPr>
      <w:r w:rsidRPr="00AB2149">
        <w:rPr>
          <w:rFonts w:asciiTheme="majorHAnsi" w:hAnsiTheme="majorHAnsi" w:cstheme="majorHAnsi"/>
          <w:sz w:val="20"/>
          <w:szCs w:val="20"/>
          <w:lang w:val="en-US" w:eastAsia="en-US" w:bidi="he-IL"/>
        </w:rPr>
        <w:t>The project will examine:</w:t>
      </w:r>
    </w:p>
    <w:p w14:paraId="66FCDE68" w14:textId="77777777" w:rsidR="004041C1" w:rsidRPr="00AB2149" w:rsidRDefault="004041C1" w:rsidP="004041C1">
      <w:pPr>
        <w:pStyle w:val="ListParagraph"/>
        <w:numPr>
          <w:ilvl w:val="0"/>
          <w:numId w:val="93"/>
        </w:numPr>
        <w:rPr>
          <w:rFonts w:asciiTheme="majorHAnsi" w:hAnsiTheme="majorHAnsi" w:cstheme="majorHAnsi"/>
          <w:sz w:val="20"/>
          <w:szCs w:val="20"/>
          <w:lang w:val="en-US" w:eastAsia="en-US" w:bidi="he-IL"/>
        </w:rPr>
      </w:pPr>
      <w:r w:rsidRPr="00AB2149">
        <w:rPr>
          <w:rFonts w:asciiTheme="majorHAnsi" w:hAnsiTheme="majorHAnsi" w:cstheme="majorHAnsi"/>
          <w:sz w:val="20"/>
          <w:szCs w:val="20"/>
          <w:lang w:val="en-US" w:eastAsia="en-US" w:bidi="he-IL"/>
        </w:rPr>
        <w:t xml:space="preserve">the climate–nature nexus, with a focus on how ecosystem condition influences physical </w:t>
      </w:r>
      <w:proofErr w:type="gramStart"/>
      <w:r w:rsidRPr="00AB2149">
        <w:rPr>
          <w:rFonts w:asciiTheme="majorHAnsi" w:hAnsiTheme="majorHAnsi" w:cstheme="majorHAnsi"/>
          <w:sz w:val="20"/>
          <w:szCs w:val="20"/>
          <w:lang w:val="en-US" w:eastAsia="en-US" w:bidi="he-IL"/>
        </w:rPr>
        <w:t>hazards;</w:t>
      </w:r>
      <w:proofErr w:type="gramEnd"/>
    </w:p>
    <w:p w14:paraId="0DED3B16" w14:textId="68AA6889" w:rsidR="004041C1" w:rsidRPr="00AB2149" w:rsidRDefault="004041C1" w:rsidP="004041C1">
      <w:pPr>
        <w:pStyle w:val="ListParagraph"/>
        <w:numPr>
          <w:ilvl w:val="0"/>
          <w:numId w:val="93"/>
        </w:numPr>
        <w:rPr>
          <w:rFonts w:asciiTheme="majorHAnsi" w:hAnsiTheme="majorHAnsi" w:cstheme="majorHAnsi"/>
          <w:sz w:val="20"/>
          <w:szCs w:val="20"/>
          <w:lang w:val="en-US" w:eastAsia="en-US" w:bidi="he-IL"/>
        </w:rPr>
      </w:pPr>
      <w:r w:rsidRPr="00AB2149">
        <w:rPr>
          <w:rFonts w:asciiTheme="majorHAnsi" w:hAnsiTheme="majorHAnsi" w:cstheme="majorHAnsi"/>
          <w:sz w:val="20"/>
          <w:szCs w:val="20"/>
          <w:lang w:val="en-US" w:eastAsia="en-US" w:bidi="he-IL"/>
        </w:rPr>
        <w:t>emerging nature-related risks</w:t>
      </w:r>
      <w:r w:rsidR="00AB2149" w:rsidRPr="00AB2149">
        <w:rPr>
          <w:rFonts w:asciiTheme="majorHAnsi" w:hAnsiTheme="majorHAnsi" w:cstheme="majorHAnsi"/>
          <w:sz w:val="20"/>
          <w:szCs w:val="20"/>
          <w:lang w:val="en-US" w:eastAsia="en-US" w:bidi="he-IL"/>
        </w:rPr>
        <w:t xml:space="preserve"> (e.g., water scarcity, </w:t>
      </w:r>
      <w:r w:rsidR="00270DC1">
        <w:rPr>
          <w:rFonts w:asciiTheme="majorHAnsi" w:hAnsiTheme="majorHAnsi" w:cstheme="majorHAnsi"/>
          <w:sz w:val="20"/>
          <w:szCs w:val="20"/>
          <w:lang w:val="en-US" w:eastAsia="en-US" w:bidi="he-IL"/>
        </w:rPr>
        <w:t>pollination loss</w:t>
      </w:r>
      <w:r w:rsidR="00AB2149" w:rsidRPr="00AB2149">
        <w:rPr>
          <w:rFonts w:asciiTheme="majorHAnsi" w:hAnsiTheme="majorHAnsi" w:cstheme="majorHAnsi"/>
          <w:sz w:val="20"/>
          <w:szCs w:val="20"/>
          <w:lang w:val="en-US" w:eastAsia="en-US" w:bidi="he-IL"/>
        </w:rPr>
        <w:t>, fisher</w:t>
      </w:r>
      <w:r w:rsidR="00270DC1">
        <w:rPr>
          <w:rFonts w:asciiTheme="majorHAnsi" w:hAnsiTheme="majorHAnsi" w:cstheme="majorHAnsi"/>
          <w:sz w:val="20"/>
          <w:szCs w:val="20"/>
          <w:lang w:val="en-US" w:eastAsia="en-US" w:bidi="he-IL"/>
        </w:rPr>
        <w:t>y</w:t>
      </w:r>
      <w:r w:rsidR="00AB2149" w:rsidRPr="00AB2149">
        <w:rPr>
          <w:rFonts w:asciiTheme="majorHAnsi" w:hAnsiTheme="majorHAnsi" w:cstheme="majorHAnsi"/>
          <w:sz w:val="20"/>
          <w:szCs w:val="20"/>
          <w:lang w:val="en-US" w:eastAsia="en-US" w:bidi="he-IL"/>
        </w:rPr>
        <w:t xml:space="preserve"> collapse etc</w:t>
      </w:r>
      <w:r w:rsidR="00AB2149">
        <w:rPr>
          <w:rFonts w:asciiTheme="majorHAnsi" w:hAnsiTheme="majorHAnsi" w:cstheme="majorHAnsi"/>
          <w:sz w:val="20"/>
          <w:szCs w:val="20"/>
          <w:lang w:val="en-US" w:eastAsia="en-US" w:bidi="he-IL"/>
        </w:rPr>
        <w:t>.</w:t>
      </w:r>
      <w:proofErr w:type="gramStart"/>
      <w:r w:rsidR="00AB2149" w:rsidRPr="00AB2149">
        <w:rPr>
          <w:rFonts w:asciiTheme="majorHAnsi" w:hAnsiTheme="majorHAnsi" w:cstheme="majorHAnsi"/>
          <w:sz w:val="20"/>
          <w:szCs w:val="20"/>
          <w:lang w:val="en-US" w:eastAsia="en-US" w:bidi="he-IL"/>
        </w:rPr>
        <w:t>)</w:t>
      </w:r>
      <w:r w:rsidR="00AB2149">
        <w:rPr>
          <w:rFonts w:asciiTheme="majorHAnsi" w:hAnsiTheme="majorHAnsi" w:cstheme="majorHAnsi"/>
          <w:sz w:val="20"/>
          <w:szCs w:val="20"/>
          <w:lang w:val="en-US" w:eastAsia="en-US" w:bidi="he-IL"/>
        </w:rPr>
        <w:t>;</w:t>
      </w:r>
      <w:proofErr w:type="gramEnd"/>
    </w:p>
    <w:p w14:paraId="610085C5" w14:textId="77777777" w:rsidR="004041C1" w:rsidRPr="00AB2149" w:rsidRDefault="004041C1" w:rsidP="004041C1">
      <w:pPr>
        <w:pStyle w:val="ListParagraph"/>
        <w:numPr>
          <w:ilvl w:val="0"/>
          <w:numId w:val="93"/>
        </w:numPr>
        <w:rPr>
          <w:rFonts w:asciiTheme="majorHAnsi" w:hAnsiTheme="majorHAnsi" w:cstheme="majorHAnsi"/>
          <w:sz w:val="20"/>
          <w:szCs w:val="20"/>
          <w:lang w:val="en-US" w:eastAsia="en-US" w:bidi="he-IL"/>
        </w:rPr>
      </w:pPr>
      <w:r w:rsidRPr="00AB2149">
        <w:rPr>
          <w:rFonts w:asciiTheme="majorHAnsi" w:hAnsiTheme="majorHAnsi" w:cstheme="majorHAnsi"/>
          <w:sz w:val="20"/>
          <w:szCs w:val="20"/>
          <w:lang w:val="en-US" w:eastAsia="en-US" w:bidi="he-IL"/>
        </w:rPr>
        <w:t>nature-based solutions that can reduce risks; and</w:t>
      </w:r>
    </w:p>
    <w:p w14:paraId="0D4D96A2" w14:textId="6C18BB0B" w:rsidR="00910BEB" w:rsidRPr="00AB2149" w:rsidRDefault="004041C1" w:rsidP="004041C1">
      <w:pPr>
        <w:pStyle w:val="ListParagraph"/>
        <w:numPr>
          <w:ilvl w:val="0"/>
          <w:numId w:val="93"/>
        </w:numPr>
        <w:rPr>
          <w:rFonts w:asciiTheme="majorHAnsi" w:hAnsiTheme="majorHAnsi" w:cstheme="majorHAnsi"/>
          <w:sz w:val="20"/>
          <w:szCs w:val="20"/>
          <w:lang w:val="en-US" w:eastAsia="en-US" w:bidi="he-IL"/>
        </w:rPr>
      </w:pPr>
      <w:r w:rsidRPr="00AB2149">
        <w:rPr>
          <w:rFonts w:asciiTheme="majorHAnsi" w:hAnsiTheme="majorHAnsi" w:cstheme="majorHAnsi"/>
          <w:sz w:val="20"/>
          <w:szCs w:val="20"/>
          <w:lang w:val="en-US" w:eastAsia="en-US" w:bidi="he-IL"/>
        </w:rPr>
        <w:t>how nature-related scenario analysis can be applied within each component to identify and measure risks.</w:t>
      </w:r>
    </w:p>
    <w:p w14:paraId="2E41560D" w14:textId="77777777" w:rsidR="004041C1" w:rsidRPr="004041C1" w:rsidRDefault="004041C1" w:rsidP="004041C1">
      <w:pPr>
        <w:pStyle w:val="ListParagraph"/>
        <w:rPr>
          <w:rFonts w:asciiTheme="majorHAnsi" w:hAnsiTheme="majorHAnsi" w:cstheme="majorHAnsi"/>
          <w:sz w:val="20"/>
          <w:szCs w:val="20"/>
          <w:lang w:val="en-US" w:eastAsia="en-US" w:bidi="he-IL"/>
        </w:rPr>
      </w:pPr>
    </w:p>
    <w:p w14:paraId="749880A4" w14:textId="77777777" w:rsidR="00910BEB" w:rsidRDefault="00910BEB" w:rsidP="00D602E3">
      <w:pPr>
        <w:rPr>
          <w:rFonts w:asciiTheme="majorHAnsi" w:hAnsiTheme="majorHAnsi" w:cstheme="majorHAnsi"/>
          <w:sz w:val="20"/>
          <w:szCs w:val="20"/>
          <w:lang w:val="en-US" w:eastAsia="en-US" w:bidi="he-IL"/>
        </w:rPr>
      </w:pPr>
      <w:r w:rsidRPr="00910BEB">
        <w:rPr>
          <w:rFonts w:asciiTheme="majorHAnsi" w:hAnsiTheme="majorHAnsi" w:cstheme="majorHAnsi"/>
          <w:noProof/>
          <w:sz w:val="20"/>
          <w:szCs w:val="20"/>
          <w:lang w:eastAsia="en-US" w:bidi="he-IL"/>
        </w:rPr>
        <w:drawing>
          <wp:inline distT="0" distB="0" distL="0" distR="0" wp14:anchorId="02876100" wp14:editId="1EA0F6C6">
            <wp:extent cx="6210935" cy="3278505"/>
            <wp:effectExtent l="0" t="0" r="0" b="0"/>
            <wp:docPr id="25270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06538" name=""/>
                    <pic:cNvPicPr/>
                  </pic:nvPicPr>
                  <pic:blipFill>
                    <a:blip r:embed="rId13"/>
                    <a:stretch>
                      <a:fillRect/>
                    </a:stretch>
                  </pic:blipFill>
                  <pic:spPr>
                    <a:xfrm>
                      <a:off x="0" y="0"/>
                      <a:ext cx="6210935" cy="3278505"/>
                    </a:xfrm>
                    <a:prstGeom prst="rect">
                      <a:avLst/>
                    </a:prstGeom>
                  </pic:spPr>
                </pic:pic>
              </a:graphicData>
            </a:graphic>
          </wp:inline>
        </w:drawing>
      </w:r>
    </w:p>
    <w:p w14:paraId="09E5933A" w14:textId="3F7F3C78" w:rsidR="004041C1" w:rsidRDefault="004041C1">
      <w:pPr>
        <w:spacing w:after="160" w:line="259" w:lineRule="auto"/>
        <w:rPr>
          <w:rFonts w:asciiTheme="majorHAnsi" w:hAnsiTheme="majorHAnsi" w:cstheme="majorHAnsi"/>
          <w:sz w:val="20"/>
          <w:szCs w:val="20"/>
          <w:lang w:val="en-US" w:eastAsia="en-US" w:bidi="he-IL"/>
        </w:rPr>
      </w:pPr>
      <w:r>
        <w:rPr>
          <w:rFonts w:asciiTheme="majorHAnsi" w:hAnsiTheme="majorHAnsi" w:cstheme="majorHAnsi"/>
          <w:sz w:val="20"/>
          <w:szCs w:val="20"/>
          <w:lang w:val="en-US" w:eastAsia="en-US" w:bidi="he-IL"/>
        </w:rPr>
        <w:br w:type="page"/>
      </w:r>
    </w:p>
    <w:p w14:paraId="467EDB9E" w14:textId="77777777" w:rsidR="00386F2B" w:rsidRPr="004041C1" w:rsidRDefault="00386F2B" w:rsidP="004041C1">
      <w:pPr>
        <w:pStyle w:val="Heading2"/>
        <w:rPr>
          <w:lang w:val="en-US"/>
        </w:rPr>
      </w:pPr>
      <w:bookmarkStart w:id="9" w:name="_Toc214867632"/>
      <w:r w:rsidRPr="004041C1">
        <w:rPr>
          <w:lang w:val="en-US"/>
        </w:rPr>
        <w:lastRenderedPageBreak/>
        <w:t>Delivery Workplan</w:t>
      </w:r>
      <w:bookmarkEnd w:id="9"/>
    </w:p>
    <w:p w14:paraId="0BBC2321" w14:textId="77777777" w:rsidR="00386F2B" w:rsidRPr="004041C1" w:rsidRDefault="00386F2B" w:rsidP="004041C1">
      <w:pPr>
        <w:rPr>
          <w:rFonts w:asciiTheme="majorHAnsi" w:hAnsiTheme="majorHAnsi" w:cstheme="majorHAnsi"/>
          <w:sz w:val="20"/>
          <w:szCs w:val="20"/>
          <w:lang w:val="en-US" w:eastAsia="en-US" w:bidi="he-IL"/>
        </w:rPr>
      </w:pPr>
    </w:p>
    <w:p w14:paraId="48BF30F6" w14:textId="76EA30BA" w:rsidR="00437BE9" w:rsidRPr="004041C1" w:rsidRDefault="004041C1" w:rsidP="004041C1">
      <w:pPr>
        <w:rPr>
          <w:rFonts w:asciiTheme="majorHAnsi" w:hAnsiTheme="majorHAnsi" w:cstheme="majorHAnsi"/>
          <w:color w:val="000000" w:themeColor="text1"/>
          <w:sz w:val="20"/>
          <w:szCs w:val="20"/>
          <w:lang w:val="en-US" w:eastAsia="en-US" w:bidi="he-IL"/>
        </w:rPr>
      </w:pPr>
      <w:r w:rsidRPr="004041C1">
        <w:rPr>
          <w:rFonts w:asciiTheme="majorHAnsi" w:hAnsiTheme="majorHAnsi" w:cstheme="majorHAnsi"/>
          <w:color w:val="000000" w:themeColor="text1"/>
          <w:sz w:val="20"/>
          <w:szCs w:val="20"/>
          <w:lang w:val="en-US" w:eastAsia="en-US" w:bidi="he-IL"/>
        </w:rPr>
        <w:t>The chart below provides a high-level overview of the proposed delivery workplan, including an indication of the roles leading on each component.</w:t>
      </w:r>
    </w:p>
    <w:p w14:paraId="69C635AA" w14:textId="2A02082E" w:rsidR="00437BE9" w:rsidRDefault="004041C1" w:rsidP="00D602E3">
      <w:pPr>
        <w:rPr>
          <w:rFonts w:asciiTheme="majorHAnsi" w:hAnsiTheme="majorHAnsi" w:cstheme="majorHAnsi"/>
          <w:sz w:val="20"/>
          <w:szCs w:val="20"/>
          <w:lang w:val="en-US" w:eastAsia="en-US" w:bidi="he-IL"/>
        </w:rPr>
      </w:pPr>
      <w:r w:rsidRPr="004041C1">
        <w:rPr>
          <w:rFonts w:asciiTheme="majorHAnsi" w:hAnsiTheme="majorHAnsi" w:cstheme="majorHAnsi"/>
          <w:noProof/>
          <w:sz w:val="20"/>
          <w:szCs w:val="20"/>
          <w:lang w:eastAsia="en-US" w:bidi="he-IL"/>
        </w:rPr>
        <w:drawing>
          <wp:inline distT="0" distB="0" distL="0" distR="0" wp14:anchorId="2B00941F" wp14:editId="60ADCCFE">
            <wp:extent cx="6210935" cy="3442335"/>
            <wp:effectExtent l="0" t="0" r="0" b="0"/>
            <wp:docPr id="181692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27815" name=""/>
                    <pic:cNvPicPr/>
                  </pic:nvPicPr>
                  <pic:blipFill>
                    <a:blip r:embed="rId14"/>
                    <a:stretch>
                      <a:fillRect/>
                    </a:stretch>
                  </pic:blipFill>
                  <pic:spPr>
                    <a:xfrm>
                      <a:off x="0" y="0"/>
                      <a:ext cx="6210935" cy="3442335"/>
                    </a:xfrm>
                    <a:prstGeom prst="rect">
                      <a:avLst/>
                    </a:prstGeom>
                  </pic:spPr>
                </pic:pic>
              </a:graphicData>
            </a:graphic>
          </wp:inline>
        </w:drawing>
      </w:r>
    </w:p>
    <w:p w14:paraId="56469281" w14:textId="77777777" w:rsidR="004D6FFB" w:rsidRDefault="004D6FFB" w:rsidP="00D602E3">
      <w:pPr>
        <w:rPr>
          <w:rFonts w:asciiTheme="majorHAnsi" w:hAnsiTheme="majorHAnsi" w:cstheme="majorHAnsi"/>
          <w:sz w:val="20"/>
          <w:szCs w:val="20"/>
          <w:lang w:val="en-US" w:eastAsia="en-US" w:bidi="he-IL"/>
        </w:rPr>
      </w:pPr>
    </w:p>
    <w:p w14:paraId="4DE26C06" w14:textId="7DB760E3" w:rsidR="004D6FFB" w:rsidRDefault="004041C1" w:rsidP="00D602E3">
      <w:pPr>
        <w:rPr>
          <w:rFonts w:asciiTheme="majorHAnsi" w:hAnsiTheme="majorHAnsi" w:cstheme="majorHAnsi"/>
          <w:sz w:val="20"/>
          <w:szCs w:val="20"/>
          <w:lang w:val="en-US" w:eastAsia="en-US" w:bidi="he-IL"/>
        </w:rPr>
      </w:pPr>
      <w:r w:rsidRPr="004041C1">
        <w:rPr>
          <w:rFonts w:asciiTheme="majorHAnsi" w:hAnsiTheme="majorHAnsi" w:cstheme="majorHAnsi"/>
          <w:sz w:val="20"/>
          <w:szCs w:val="20"/>
          <w:lang w:val="en-US" w:eastAsia="en-US" w:bidi="he-IL"/>
        </w:rPr>
        <w:t>Further detail on the approach and key steps for each phase and component is provided in the sections that follow. The Annex will include the proposed methodology for reviewing each component in more depth.</w:t>
      </w:r>
    </w:p>
    <w:p w14:paraId="297FCA65" w14:textId="77777777" w:rsidR="004041C1" w:rsidRDefault="004041C1" w:rsidP="00D602E3">
      <w:pPr>
        <w:rPr>
          <w:rFonts w:asciiTheme="majorHAnsi" w:hAnsiTheme="majorHAnsi" w:cstheme="majorHAnsi"/>
          <w:sz w:val="20"/>
          <w:szCs w:val="20"/>
          <w:lang w:val="en-US" w:eastAsia="en-US" w:bidi="he-IL"/>
        </w:rPr>
      </w:pPr>
    </w:p>
    <w:p w14:paraId="19FC4B63" w14:textId="77777777" w:rsidR="00386F2B" w:rsidRPr="00910BEB" w:rsidRDefault="00910BEB" w:rsidP="00910BEB">
      <w:pPr>
        <w:pStyle w:val="Heading3"/>
      </w:pPr>
      <w:bookmarkStart w:id="10" w:name="_Toc214867633"/>
      <w:r w:rsidRPr="00910BEB">
        <w:t>Phase 1 – Component 1</w:t>
      </w:r>
      <w:bookmarkEnd w:id="10"/>
    </w:p>
    <w:p w14:paraId="7EE4DEC4" w14:textId="77777777" w:rsidR="00910BEB" w:rsidRDefault="00910BEB" w:rsidP="00D602E3">
      <w:pPr>
        <w:rPr>
          <w:rFonts w:asciiTheme="majorHAnsi" w:hAnsiTheme="majorHAnsi" w:cstheme="majorHAnsi"/>
          <w:sz w:val="20"/>
          <w:szCs w:val="20"/>
          <w:lang w:val="en-US" w:eastAsia="en-US" w:bidi="he-IL"/>
        </w:rPr>
      </w:pPr>
    </w:p>
    <w:p w14:paraId="71F26CC0" w14:textId="302FA786" w:rsidR="000A0FF4" w:rsidRPr="000A0FF4" w:rsidRDefault="000A0FF4" w:rsidP="000A0FF4">
      <w:pPr>
        <w:pStyle w:val="ListParagraph"/>
        <w:numPr>
          <w:ilvl w:val="0"/>
          <w:numId w:val="95"/>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Selection of Perils and Relevant Ecosystem Types</w:t>
      </w:r>
    </w:p>
    <w:p w14:paraId="7C42EA7F" w14:textId="77777777"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Conduct a literature review to identify priority weather-related perils and the ecosystems that influence them.</w:t>
      </w:r>
    </w:p>
    <w:p w14:paraId="2E2B07CB" w14:textId="77777777"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Technical Partners provide inputs and initial validation.</w:t>
      </w:r>
    </w:p>
    <w:p w14:paraId="43D6C1C0" w14:textId="77777777"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CTG members review the relevance of these peril–ecosystem linkages for their own portfolios.</w:t>
      </w:r>
    </w:p>
    <w:p w14:paraId="20D3B5C6" w14:textId="77777777"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CTG members select the part of their portfolio to be considered in Phase 1.</w:t>
      </w:r>
    </w:p>
    <w:p w14:paraId="74F12A4B" w14:textId="77777777" w:rsid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CTG members assess how the identified ecosystems are relevant in the context of their underwriting business.</w:t>
      </w:r>
    </w:p>
    <w:p w14:paraId="79DFEAF2" w14:textId="77777777" w:rsidR="000A0FF4" w:rsidRPr="000A0FF4" w:rsidRDefault="000A0FF4" w:rsidP="000A0FF4">
      <w:pPr>
        <w:pStyle w:val="ListParagraph"/>
        <w:rPr>
          <w:rFonts w:asciiTheme="majorHAnsi" w:hAnsiTheme="majorHAnsi" w:cstheme="majorHAnsi"/>
          <w:sz w:val="20"/>
          <w:szCs w:val="20"/>
          <w:lang w:val="en-US" w:eastAsia="en-US" w:bidi="he-IL"/>
        </w:rPr>
      </w:pPr>
    </w:p>
    <w:p w14:paraId="62F07661" w14:textId="2BF61733" w:rsidR="000A0FF4" w:rsidRPr="000A0FF4" w:rsidRDefault="000A0FF4" w:rsidP="000A0FF4">
      <w:pPr>
        <w:pStyle w:val="ListParagraph"/>
        <w:numPr>
          <w:ilvl w:val="0"/>
          <w:numId w:val="95"/>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Review of Tools and Approaches for Risk Screening</w:t>
      </w:r>
    </w:p>
    <w:p w14:paraId="3DFA6019" w14:textId="77777777"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Compile and review existing tools that can support risk screening, such as hazard maps that incorporate ecosystem condition (current state and, where applicable, forward-looking scenario relevance).</w:t>
      </w:r>
    </w:p>
    <w:p w14:paraId="49457865" w14:textId="77777777"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Technical Partners provide inputs on available tools and methodological considerations.</w:t>
      </w:r>
    </w:p>
    <w:p w14:paraId="0928A851" w14:textId="77777777"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Discuss within the CTG how these tools could be leveraged or adapted for insurance use.</w:t>
      </w:r>
    </w:p>
    <w:p w14:paraId="77CDD4EF" w14:textId="77777777" w:rsid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Explore how these tools may support risk screening and underwriting criteria.</w:t>
      </w:r>
    </w:p>
    <w:p w14:paraId="074E45CF" w14:textId="77777777" w:rsidR="000A0FF4" w:rsidRPr="000A0FF4" w:rsidRDefault="000A0FF4" w:rsidP="000A0FF4">
      <w:pPr>
        <w:pStyle w:val="ListParagraph"/>
        <w:rPr>
          <w:rFonts w:asciiTheme="majorHAnsi" w:hAnsiTheme="majorHAnsi" w:cstheme="majorHAnsi"/>
          <w:sz w:val="20"/>
          <w:szCs w:val="20"/>
          <w:lang w:val="en-US" w:eastAsia="en-US" w:bidi="he-IL"/>
        </w:rPr>
      </w:pPr>
    </w:p>
    <w:p w14:paraId="2E6EC6CB" w14:textId="415974D5" w:rsidR="000A0FF4" w:rsidRPr="000A0FF4" w:rsidRDefault="000A0FF4" w:rsidP="000A0FF4">
      <w:pPr>
        <w:pStyle w:val="ListParagraph"/>
        <w:numPr>
          <w:ilvl w:val="0"/>
          <w:numId w:val="95"/>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Review of the Current Integration of Nature / Ecosystem Condition in Catastrophe Models</w:t>
      </w:r>
    </w:p>
    <w:p w14:paraId="6ACD17DC" w14:textId="77777777"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Review existing approaches for incorporating nature or ecosystem-condition factors into catastrophe models, including relevant criteria and metrics.</w:t>
      </w:r>
    </w:p>
    <w:p w14:paraId="59194303" w14:textId="77777777"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Collect inputs from CTG members and Technical Partners on current practices and limitations.</w:t>
      </w:r>
    </w:p>
    <w:p w14:paraId="5478C321" w14:textId="2651B361" w:rsidR="000A0FF4" w:rsidRDefault="000A0FF4" w:rsidP="000A0FF4">
      <w:pPr>
        <w:pStyle w:val="ListParagraph"/>
        <w:numPr>
          <w:ilvl w:val="0"/>
          <w:numId w:val="95"/>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lastRenderedPageBreak/>
        <w:t>Drafting a Proposed Methodology for</w:t>
      </w:r>
      <w:r>
        <w:rPr>
          <w:rFonts w:asciiTheme="majorHAnsi" w:hAnsiTheme="majorHAnsi" w:cstheme="majorHAnsi"/>
          <w:sz w:val="20"/>
          <w:szCs w:val="20"/>
          <w:lang w:val="en-US" w:eastAsia="en-US" w:bidi="he-IL"/>
        </w:rPr>
        <w:t xml:space="preserve"> inputs to</w:t>
      </w:r>
      <w:r w:rsidRPr="000A0FF4">
        <w:rPr>
          <w:rFonts w:asciiTheme="majorHAnsi" w:hAnsiTheme="majorHAnsi" w:cstheme="majorHAnsi"/>
          <w:sz w:val="20"/>
          <w:szCs w:val="20"/>
          <w:lang w:val="en-US" w:eastAsia="en-US" w:bidi="he-IL"/>
        </w:rPr>
        <w:t xml:space="preserve"> Catastrophe-Model</w:t>
      </w:r>
      <w:r w:rsidR="003A2FB0">
        <w:rPr>
          <w:rFonts w:asciiTheme="majorHAnsi" w:hAnsiTheme="majorHAnsi" w:cstheme="majorHAnsi"/>
          <w:sz w:val="20"/>
          <w:szCs w:val="20"/>
          <w:lang w:val="en-US" w:eastAsia="en-US" w:bidi="he-IL"/>
        </w:rPr>
        <w:t xml:space="preserve"> (to align with Component 3)</w:t>
      </w:r>
    </w:p>
    <w:p w14:paraId="0162C214" w14:textId="14CB4091"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Draft an initial approach or methodology for refining catastrophe-model inputs to account for ecosystem condition (covering both current state and, where relevant, scenario considerations).</w:t>
      </w:r>
    </w:p>
    <w:p w14:paraId="44BC3B0D" w14:textId="77777777"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Technical Partners provide further methodological input.</w:t>
      </w:r>
    </w:p>
    <w:p w14:paraId="04324E00" w14:textId="77777777"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CTG members consult internally with underwriting and actuarial teams to review feasibility.</w:t>
      </w:r>
    </w:p>
    <w:p w14:paraId="18E700A3" w14:textId="77777777"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Refine the proposed methodology for ecosystem-condition inputs for selected perils.</w:t>
      </w:r>
    </w:p>
    <w:p w14:paraId="71102E40" w14:textId="5B9B7DD9" w:rsidR="000A0FF4" w:rsidRPr="000A0FF4" w:rsidRDefault="000A0FF4" w:rsidP="000A0FF4">
      <w:pPr>
        <w:pStyle w:val="ListParagraph"/>
        <w:numPr>
          <w:ilvl w:val="0"/>
          <w:numId w:val="96"/>
        </w:numPr>
        <w:rPr>
          <w:rFonts w:asciiTheme="majorHAnsi" w:hAnsiTheme="majorHAnsi" w:cstheme="majorHAnsi"/>
          <w:sz w:val="20"/>
          <w:szCs w:val="20"/>
          <w:lang w:val="en-US" w:eastAsia="en-US" w:bidi="he-IL"/>
        </w:rPr>
      </w:pPr>
      <w:r w:rsidRPr="000A0FF4">
        <w:rPr>
          <w:rFonts w:asciiTheme="majorHAnsi" w:hAnsiTheme="majorHAnsi" w:cstheme="majorHAnsi"/>
          <w:sz w:val="20"/>
          <w:szCs w:val="20"/>
          <w:lang w:val="en-US" w:eastAsia="en-US" w:bidi="he-IL"/>
        </w:rPr>
        <w:t>Discuss how such outputs could be applied within the underwriting process</w:t>
      </w:r>
      <w:r w:rsidR="008D0067">
        <w:rPr>
          <w:rFonts w:asciiTheme="majorHAnsi" w:hAnsiTheme="majorHAnsi" w:cstheme="majorHAnsi"/>
          <w:sz w:val="20"/>
          <w:szCs w:val="20"/>
          <w:lang w:val="en-US" w:eastAsia="en-US" w:bidi="he-IL"/>
        </w:rPr>
        <w:t>.</w:t>
      </w:r>
    </w:p>
    <w:p w14:paraId="7EB79E03" w14:textId="77777777" w:rsidR="00910BEB" w:rsidRDefault="00910BEB" w:rsidP="00D602E3">
      <w:pPr>
        <w:rPr>
          <w:rFonts w:asciiTheme="majorHAnsi" w:hAnsiTheme="majorHAnsi" w:cstheme="majorHAnsi"/>
          <w:sz w:val="20"/>
          <w:szCs w:val="20"/>
          <w:lang w:val="en-US" w:eastAsia="en-US" w:bidi="he-IL"/>
        </w:rPr>
      </w:pPr>
    </w:p>
    <w:p w14:paraId="767D77FE" w14:textId="7B452E69" w:rsidR="008D0067" w:rsidRDefault="008D0067" w:rsidP="00D602E3">
      <w:pPr>
        <w:rPr>
          <w:rFonts w:asciiTheme="majorHAnsi" w:hAnsiTheme="majorHAnsi" w:cstheme="majorHAnsi"/>
          <w:sz w:val="20"/>
          <w:szCs w:val="20"/>
          <w:lang w:val="en-US" w:eastAsia="en-US" w:bidi="he-IL"/>
        </w:rPr>
      </w:pPr>
      <w:r>
        <w:rPr>
          <w:rFonts w:asciiTheme="majorHAnsi" w:hAnsiTheme="majorHAnsi" w:cstheme="majorHAnsi"/>
          <w:sz w:val="20"/>
          <w:szCs w:val="20"/>
          <w:lang w:val="en-US" w:eastAsia="en-US" w:bidi="he-IL"/>
        </w:rPr>
        <w:t>[</w:t>
      </w:r>
      <w:r w:rsidRPr="008D0067">
        <w:rPr>
          <w:rFonts w:asciiTheme="majorHAnsi" w:hAnsiTheme="majorHAnsi" w:cstheme="majorHAnsi"/>
          <w:sz w:val="20"/>
          <w:szCs w:val="20"/>
          <w:lang w:val="en-US" w:eastAsia="en-US" w:bidi="he-IL"/>
        </w:rPr>
        <w:t>See Annex for details on the proposed methodology.</w:t>
      </w:r>
      <w:r>
        <w:rPr>
          <w:rFonts w:asciiTheme="majorHAnsi" w:hAnsiTheme="majorHAnsi" w:cstheme="majorHAnsi"/>
          <w:sz w:val="20"/>
          <w:szCs w:val="20"/>
          <w:lang w:val="en-US" w:eastAsia="en-US" w:bidi="he-IL"/>
        </w:rPr>
        <w:t>]</w:t>
      </w:r>
    </w:p>
    <w:p w14:paraId="64D98799" w14:textId="77777777" w:rsidR="008D0067" w:rsidRDefault="008D0067" w:rsidP="00D602E3">
      <w:pPr>
        <w:rPr>
          <w:rFonts w:asciiTheme="majorHAnsi" w:hAnsiTheme="majorHAnsi" w:cstheme="majorHAnsi"/>
          <w:sz w:val="20"/>
          <w:szCs w:val="20"/>
          <w:lang w:val="en-US" w:eastAsia="en-US" w:bidi="he-IL"/>
        </w:rPr>
      </w:pPr>
    </w:p>
    <w:p w14:paraId="6535CA3B" w14:textId="77777777" w:rsidR="00910BEB" w:rsidRPr="00910BEB" w:rsidRDefault="00910BEB" w:rsidP="00910BEB">
      <w:pPr>
        <w:pStyle w:val="Heading3"/>
      </w:pPr>
      <w:bookmarkStart w:id="11" w:name="_Toc214867634"/>
      <w:r w:rsidRPr="00910BEB">
        <w:t>Phase 2 – Component 2</w:t>
      </w:r>
      <w:bookmarkEnd w:id="11"/>
    </w:p>
    <w:p w14:paraId="5B9C1DE9" w14:textId="77777777" w:rsidR="00910BEB" w:rsidRDefault="00910BEB" w:rsidP="00D602E3">
      <w:pPr>
        <w:rPr>
          <w:rFonts w:asciiTheme="majorHAnsi" w:hAnsiTheme="majorHAnsi" w:cstheme="majorHAnsi"/>
          <w:sz w:val="20"/>
          <w:szCs w:val="20"/>
          <w:lang w:val="en-US" w:eastAsia="en-US" w:bidi="he-IL"/>
        </w:rPr>
      </w:pPr>
    </w:p>
    <w:p w14:paraId="260BB71C" w14:textId="3E5BF006" w:rsidR="00DD13FB" w:rsidRPr="00DD13FB" w:rsidRDefault="00DD13FB" w:rsidP="00DD13FB">
      <w:pPr>
        <w:pStyle w:val="ListParagraph"/>
        <w:numPr>
          <w:ilvl w:val="0"/>
          <w:numId w:val="97"/>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Identification of Emerging Nature-Related Risks</w:t>
      </w:r>
    </w:p>
    <w:p w14:paraId="2A7C7541" w14:textId="77777777" w:rsidR="00DD13FB" w:rsidRPr="00DD13FB" w:rsidRDefault="00DD13FB" w:rsidP="00DD13FB">
      <w:pPr>
        <w:pStyle w:val="ListParagraph"/>
        <w:numPr>
          <w:ilvl w:val="0"/>
          <w:numId w:val="98"/>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Review existing studies and reports that outline categories of nature-related physical risks at national and global levels.</w:t>
      </w:r>
    </w:p>
    <w:p w14:paraId="03AB0E6A" w14:textId="77777777" w:rsidR="00DD13FB" w:rsidRPr="00DD13FB" w:rsidRDefault="00DD13FB" w:rsidP="00DD13FB">
      <w:pPr>
        <w:pStyle w:val="ListParagraph"/>
        <w:numPr>
          <w:ilvl w:val="0"/>
          <w:numId w:val="98"/>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Develop a list of relevant physical risks and assess their potential relevance for non-life insurance business lines.</w:t>
      </w:r>
    </w:p>
    <w:p w14:paraId="5ED20E29" w14:textId="77777777" w:rsidR="00DD13FB" w:rsidRPr="00DD13FB" w:rsidRDefault="00DD13FB" w:rsidP="00DD13FB">
      <w:pPr>
        <w:rPr>
          <w:rFonts w:asciiTheme="majorHAnsi" w:hAnsiTheme="majorHAnsi" w:cstheme="majorHAnsi"/>
          <w:sz w:val="20"/>
          <w:szCs w:val="20"/>
          <w:lang w:val="en-US" w:eastAsia="en-US" w:bidi="he-IL"/>
        </w:rPr>
      </w:pPr>
    </w:p>
    <w:p w14:paraId="5454BD24" w14:textId="0FBAD39F" w:rsidR="00DD13FB" w:rsidRPr="00DD13FB" w:rsidRDefault="00DD13FB" w:rsidP="00DD13FB">
      <w:pPr>
        <w:pStyle w:val="ListParagraph"/>
        <w:numPr>
          <w:ilvl w:val="0"/>
          <w:numId w:val="97"/>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Review of Existing and Emerging Approaches for Risk Screening</w:t>
      </w:r>
    </w:p>
    <w:p w14:paraId="51E8F69A" w14:textId="77777777" w:rsidR="00DD13FB" w:rsidRPr="00DD13FB" w:rsidRDefault="00DD13FB" w:rsidP="00DD13FB">
      <w:pPr>
        <w:pStyle w:val="ListParagraph"/>
        <w:numPr>
          <w:ilvl w:val="0"/>
          <w:numId w:val="99"/>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Identify and review current tools, approaches and metrics used to screen and monitor these emerging risks.</w:t>
      </w:r>
    </w:p>
    <w:p w14:paraId="71495AB1" w14:textId="77777777" w:rsidR="00DD13FB" w:rsidRPr="00DD13FB" w:rsidRDefault="00DD13FB" w:rsidP="00DD13FB">
      <w:pPr>
        <w:pStyle w:val="ListParagraph"/>
        <w:numPr>
          <w:ilvl w:val="0"/>
          <w:numId w:val="99"/>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Gather input from Technical Partners on existing methodologies and data sources.</w:t>
      </w:r>
    </w:p>
    <w:p w14:paraId="262935F5" w14:textId="77777777" w:rsidR="00DD13FB" w:rsidRPr="00DD13FB" w:rsidRDefault="00DD13FB" w:rsidP="00DD13FB">
      <w:pPr>
        <w:pStyle w:val="ListParagraph"/>
        <w:numPr>
          <w:ilvl w:val="0"/>
          <w:numId w:val="99"/>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Discuss how these screening approaches could be leveraged for insurance purposes.</w:t>
      </w:r>
    </w:p>
    <w:p w14:paraId="1607C303" w14:textId="77777777" w:rsidR="00DD13FB" w:rsidRPr="00DD13FB" w:rsidRDefault="00DD13FB" w:rsidP="00DD13FB">
      <w:pPr>
        <w:pStyle w:val="ListParagraph"/>
        <w:numPr>
          <w:ilvl w:val="0"/>
          <w:numId w:val="99"/>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Evaluate the relevance of these approaches for underwriting risk screening and potential incorporation into underwriting criteria.</w:t>
      </w:r>
    </w:p>
    <w:p w14:paraId="0D303888" w14:textId="77777777" w:rsidR="00DD13FB" w:rsidRPr="00DD13FB" w:rsidRDefault="00DD13FB" w:rsidP="00DD13FB">
      <w:pPr>
        <w:rPr>
          <w:rFonts w:asciiTheme="majorHAnsi" w:hAnsiTheme="majorHAnsi" w:cstheme="majorHAnsi"/>
          <w:sz w:val="20"/>
          <w:szCs w:val="20"/>
          <w:lang w:val="en-US" w:eastAsia="en-US" w:bidi="he-IL"/>
        </w:rPr>
      </w:pPr>
    </w:p>
    <w:p w14:paraId="42D0F6BF" w14:textId="1E24365B" w:rsidR="00DD13FB" w:rsidRPr="00DD13FB" w:rsidRDefault="00DD13FB" w:rsidP="00DD13FB">
      <w:pPr>
        <w:pStyle w:val="ListParagraph"/>
        <w:numPr>
          <w:ilvl w:val="0"/>
          <w:numId w:val="97"/>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Review of Existing and Emerging Approaches for Risk Quantification</w:t>
      </w:r>
    </w:p>
    <w:p w14:paraId="1AD4F1FC" w14:textId="76540990" w:rsidR="00DD13FB" w:rsidRPr="00DD13FB" w:rsidRDefault="00DD13FB" w:rsidP="00DD13FB">
      <w:pPr>
        <w:pStyle w:val="ListParagraph"/>
        <w:numPr>
          <w:ilvl w:val="0"/>
          <w:numId w:val="100"/>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 xml:space="preserve">Examine existing methods for translating emerging nature-related risks into potential financial losses, including severity, frequency, </w:t>
      </w:r>
      <w:proofErr w:type="gramStart"/>
      <w:r w:rsidRPr="00DD13FB">
        <w:rPr>
          <w:rFonts w:asciiTheme="majorHAnsi" w:hAnsiTheme="majorHAnsi" w:cstheme="majorHAnsi"/>
          <w:sz w:val="20"/>
          <w:szCs w:val="20"/>
          <w:lang w:val="en-US" w:eastAsia="en-US" w:bidi="he-IL"/>
        </w:rPr>
        <w:t>exposure</w:t>
      </w:r>
      <w:proofErr w:type="gramEnd"/>
      <w:r w:rsidRPr="00DD13FB">
        <w:rPr>
          <w:rFonts w:asciiTheme="majorHAnsi" w:hAnsiTheme="majorHAnsi" w:cstheme="majorHAnsi"/>
          <w:sz w:val="20"/>
          <w:szCs w:val="20"/>
          <w:lang w:val="en-US" w:eastAsia="en-US" w:bidi="he-IL"/>
        </w:rPr>
        <w:t xml:space="preserve"> and vulnerability considerations.</w:t>
      </w:r>
    </w:p>
    <w:p w14:paraId="68470CAB" w14:textId="77777777" w:rsidR="00DD13FB" w:rsidRPr="00DD13FB" w:rsidRDefault="00DD13FB" w:rsidP="00DD13FB">
      <w:pPr>
        <w:pStyle w:val="ListParagraph"/>
        <w:numPr>
          <w:ilvl w:val="0"/>
          <w:numId w:val="100"/>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Gather input from Working Group members and Technical Partners on applicability to insurance portfolios.</w:t>
      </w:r>
    </w:p>
    <w:p w14:paraId="4398BF7E" w14:textId="77777777" w:rsidR="00DD13FB" w:rsidRPr="00DD13FB" w:rsidRDefault="00DD13FB" w:rsidP="00DD13FB">
      <w:pPr>
        <w:rPr>
          <w:rFonts w:asciiTheme="majorHAnsi" w:hAnsiTheme="majorHAnsi" w:cstheme="majorHAnsi"/>
          <w:sz w:val="20"/>
          <w:szCs w:val="20"/>
          <w:lang w:val="en-US" w:eastAsia="en-US" w:bidi="he-IL"/>
        </w:rPr>
      </w:pPr>
    </w:p>
    <w:p w14:paraId="08BDF4FC" w14:textId="5B32DF7B" w:rsidR="00DD13FB" w:rsidRPr="00DD13FB" w:rsidRDefault="00DD13FB" w:rsidP="00DD13FB">
      <w:pPr>
        <w:pStyle w:val="ListParagraph"/>
        <w:numPr>
          <w:ilvl w:val="0"/>
          <w:numId w:val="97"/>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Drafting a Proposed Methodology for Quantifying Emerging Nature-Related Risks</w:t>
      </w:r>
      <w:r w:rsidR="003A2FB0">
        <w:rPr>
          <w:rFonts w:asciiTheme="majorHAnsi" w:hAnsiTheme="majorHAnsi" w:cstheme="majorHAnsi"/>
          <w:sz w:val="20"/>
          <w:szCs w:val="20"/>
          <w:lang w:val="en-US" w:eastAsia="en-US" w:bidi="he-IL"/>
        </w:rPr>
        <w:t xml:space="preserve"> </w:t>
      </w:r>
    </w:p>
    <w:p w14:paraId="7A6C1A7F" w14:textId="77777777" w:rsidR="00DD13FB" w:rsidRPr="00DD13FB" w:rsidRDefault="00DD13FB" w:rsidP="00DD13FB">
      <w:pPr>
        <w:pStyle w:val="ListParagraph"/>
        <w:numPr>
          <w:ilvl w:val="0"/>
          <w:numId w:val="101"/>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Draft an initial approach or methodology to refine inputs and parameters that may be needed to quantify these risks for insurance purposes.</w:t>
      </w:r>
    </w:p>
    <w:p w14:paraId="204167C2" w14:textId="77777777" w:rsidR="00DD13FB" w:rsidRPr="00DD13FB" w:rsidRDefault="00DD13FB" w:rsidP="00DD13FB">
      <w:pPr>
        <w:pStyle w:val="ListParagraph"/>
        <w:numPr>
          <w:ilvl w:val="0"/>
          <w:numId w:val="101"/>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Technical Partners provide additional methodological input.</w:t>
      </w:r>
    </w:p>
    <w:p w14:paraId="08364D6E" w14:textId="77777777" w:rsidR="00DD13FB" w:rsidRPr="00DD13FB" w:rsidRDefault="00DD13FB" w:rsidP="00DD13FB">
      <w:pPr>
        <w:pStyle w:val="ListParagraph"/>
        <w:numPr>
          <w:ilvl w:val="0"/>
          <w:numId w:val="101"/>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CTG members consult internally with underwriting and actuarial teams to assess feasibility.</w:t>
      </w:r>
    </w:p>
    <w:p w14:paraId="0F3463BE" w14:textId="2645212C" w:rsidR="00910BEB" w:rsidRPr="00DD13FB" w:rsidRDefault="00DD13FB" w:rsidP="00DD13FB">
      <w:pPr>
        <w:pStyle w:val="ListParagraph"/>
        <w:numPr>
          <w:ilvl w:val="0"/>
          <w:numId w:val="101"/>
        </w:numPr>
        <w:rPr>
          <w:rFonts w:asciiTheme="majorHAnsi" w:hAnsiTheme="majorHAnsi" w:cstheme="majorHAnsi"/>
          <w:sz w:val="20"/>
          <w:szCs w:val="20"/>
          <w:lang w:val="en-US" w:eastAsia="en-US" w:bidi="he-IL"/>
        </w:rPr>
      </w:pPr>
      <w:r w:rsidRPr="00DD13FB">
        <w:rPr>
          <w:rFonts w:asciiTheme="majorHAnsi" w:hAnsiTheme="majorHAnsi" w:cstheme="majorHAnsi"/>
          <w:sz w:val="20"/>
          <w:szCs w:val="20"/>
          <w:lang w:val="en-US" w:eastAsia="en-US" w:bidi="he-IL"/>
        </w:rPr>
        <w:t>Engage in discussion on how the resulting outputs could be used within the underwriting process.</w:t>
      </w:r>
    </w:p>
    <w:p w14:paraId="67E3194F" w14:textId="77777777" w:rsidR="00910BEB" w:rsidRDefault="00910BEB" w:rsidP="00D602E3">
      <w:pPr>
        <w:rPr>
          <w:rFonts w:asciiTheme="majorHAnsi" w:hAnsiTheme="majorHAnsi" w:cstheme="majorHAnsi"/>
          <w:sz w:val="20"/>
          <w:szCs w:val="20"/>
          <w:lang w:val="en-US" w:eastAsia="en-US" w:bidi="he-IL"/>
        </w:rPr>
      </w:pPr>
    </w:p>
    <w:p w14:paraId="5576DE29" w14:textId="77777777" w:rsidR="008D0067" w:rsidRDefault="008D0067" w:rsidP="008D0067">
      <w:pPr>
        <w:rPr>
          <w:rFonts w:asciiTheme="majorHAnsi" w:hAnsiTheme="majorHAnsi" w:cstheme="majorHAnsi"/>
          <w:sz w:val="20"/>
          <w:szCs w:val="20"/>
          <w:lang w:val="en-US" w:eastAsia="en-US" w:bidi="he-IL"/>
        </w:rPr>
      </w:pPr>
      <w:r>
        <w:rPr>
          <w:rFonts w:asciiTheme="majorHAnsi" w:hAnsiTheme="majorHAnsi" w:cstheme="majorHAnsi"/>
          <w:sz w:val="20"/>
          <w:szCs w:val="20"/>
          <w:lang w:val="en-US" w:eastAsia="en-US" w:bidi="he-IL"/>
        </w:rPr>
        <w:t>[</w:t>
      </w:r>
      <w:r w:rsidRPr="008D0067">
        <w:rPr>
          <w:rFonts w:asciiTheme="majorHAnsi" w:hAnsiTheme="majorHAnsi" w:cstheme="majorHAnsi"/>
          <w:sz w:val="20"/>
          <w:szCs w:val="20"/>
          <w:lang w:val="en-US" w:eastAsia="en-US" w:bidi="he-IL"/>
        </w:rPr>
        <w:t>See Annex for details on the proposed methodology.</w:t>
      </w:r>
      <w:r>
        <w:rPr>
          <w:rFonts w:asciiTheme="majorHAnsi" w:hAnsiTheme="majorHAnsi" w:cstheme="majorHAnsi"/>
          <w:sz w:val="20"/>
          <w:szCs w:val="20"/>
          <w:lang w:val="en-US" w:eastAsia="en-US" w:bidi="he-IL"/>
        </w:rPr>
        <w:t>]</w:t>
      </w:r>
    </w:p>
    <w:p w14:paraId="4018F9BC" w14:textId="77777777" w:rsidR="008D0067" w:rsidRDefault="008D0067" w:rsidP="00D602E3">
      <w:pPr>
        <w:rPr>
          <w:rFonts w:asciiTheme="majorHAnsi" w:hAnsiTheme="majorHAnsi" w:cstheme="majorHAnsi"/>
          <w:sz w:val="20"/>
          <w:szCs w:val="20"/>
          <w:lang w:val="en-US" w:eastAsia="en-US" w:bidi="he-IL"/>
        </w:rPr>
      </w:pPr>
    </w:p>
    <w:p w14:paraId="0E4EC8C3" w14:textId="77777777" w:rsidR="00910BEB" w:rsidRPr="00910BEB" w:rsidRDefault="00910BEB" w:rsidP="00910BEB">
      <w:pPr>
        <w:pStyle w:val="Heading3"/>
      </w:pPr>
      <w:bookmarkStart w:id="12" w:name="_Toc214867635"/>
      <w:r w:rsidRPr="00910BEB">
        <w:t>Phase 3 – Component 3</w:t>
      </w:r>
      <w:bookmarkEnd w:id="12"/>
    </w:p>
    <w:p w14:paraId="7F78AB3D" w14:textId="77777777" w:rsidR="00910BEB" w:rsidRDefault="00910BEB" w:rsidP="00D602E3">
      <w:pPr>
        <w:rPr>
          <w:rFonts w:asciiTheme="majorHAnsi" w:hAnsiTheme="majorHAnsi" w:cstheme="majorHAnsi"/>
          <w:sz w:val="20"/>
          <w:szCs w:val="20"/>
          <w:lang w:val="en-US" w:eastAsia="en-US" w:bidi="he-IL"/>
        </w:rPr>
      </w:pPr>
    </w:p>
    <w:p w14:paraId="684C3921" w14:textId="77777777" w:rsidR="008D0067" w:rsidRPr="000805E1" w:rsidRDefault="008D0067" w:rsidP="008D0067">
      <w:pPr>
        <w:pStyle w:val="ListParagraph"/>
        <w:numPr>
          <w:ilvl w:val="0"/>
          <w:numId w:val="103"/>
        </w:numPr>
        <w:rPr>
          <w:rFonts w:asciiTheme="majorHAnsi" w:hAnsiTheme="majorHAnsi" w:cstheme="majorHAnsi"/>
          <w:sz w:val="20"/>
          <w:szCs w:val="20"/>
          <w:lang w:val="en-US" w:eastAsia="en-US" w:bidi="he-IL"/>
        </w:rPr>
      </w:pPr>
      <w:r w:rsidRPr="000805E1">
        <w:rPr>
          <w:rFonts w:asciiTheme="majorHAnsi" w:hAnsiTheme="majorHAnsi" w:cstheme="majorHAnsi"/>
          <w:sz w:val="20"/>
          <w:szCs w:val="20"/>
          <w:lang w:val="en-US" w:eastAsia="en-US" w:bidi="he-IL"/>
        </w:rPr>
        <w:t xml:space="preserve">Review existing work on accounting for </w:t>
      </w:r>
      <w:proofErr w:type="spellStart"/>
      <w:r w:rsidRPr="000805E1">
        <w:rPr>
          <w:rFonts w:asciiTheme="majorHAnsi" w:hAnsiTheme="majorHAnsi" w:cstheme="majorHAnsi"/>
          <w:sz w:val="20"/>
          <w:szCs w:val="20"/>
          <w:lang w:val="en-US" w:eastAsia="en-US" w:bidi="he-IL"/>
        </w:rPr>
        <w:t>NbS</w:t>
      </w:r>
      <w:proofErr w:type="spellEnd"/>
      <w:r w:rsidRPr="000805E1">
        <w:rPr>
          <w:rFonts w:asciiTheme="majorHAnsi" w:hAnsiTheme="majorHAnsi" w:cstheme="majorHAnsi"/>
          <w:sz w:val="20"/>
          <w:szCs w:val="20"/>
          <w:lang w:val="en-US" w:eastAsia="en-US" w:bidi="he-IL"/>
        </w:rPr>
        <w:t xml:space="preserve"> in risk </w:t>
      </w:r>
      <w:proofErr w:type="gramStart"/>
      <w:r w:rsidRPr="000805E1">
        <w:rPr>
          <w:rFonts w:asciiTheme="majorHAnsi" w:hAnsiTheme="majorHAnsi" w:cstheme="majorHAnsi"/>
          <w:sz w:val="20"/>
          <w:szCs w:val="20"/>
          <w:lang w:val="en-US" w:eastAsia="en-US" w:bidi="he-IL"/>
        </w:rPr>
        <w:t>reduction</w:t>
      </w:r>
      <w:proofErr w:type="gramEnd"/>
    </w:p>
    <w:p w14:paraId="4F38A8C3" w14:textId="77777777" w:rsidR="008D0067" w:rsidRPr="000805E1" w:rsidRDefault="008D0067" w:rsidP="008D0067">
      <w:pPr>
        <w:pStyle w:val="ListParagraph"/>
        <w:numPr>
          <w:ilvl w:val="0"/>
          <w:numId w:val="101"/>
        </w:numPr>
        <w:rPr>
          <w:rFonts w:asciiTheme="majorHAnsi" w:hAnsiTheme="majorHAnsi" w:cstheme="majorHAnsi"/>
          <w:sz w:val="20"/>
          <w:szCs w:val="20"/>
          <w:lang w:val="en-US" w:eastAsia="en-US" w:bidi="he-IL"/>
        </w:rPr>
      </w:pPr>
      <w:r w:rsidRPr="000805E1">
        <w:rPr>
          <w:rFonts w:asciiTheme="majorHAnsi" w:hAnsiTheme="majorHAnsi" w:cstheme="majorHAnsi"/>
          <w:sz w:val="20"/>
          <w:szCs w:val="20"/>
          <w:lang w:val="en-US" w:eastAsia="en-US" w:bidi="he-IL"/>
        </w:rPr>
        <w:t xml:space="preserve">Review existing projects and studies where methodologies are being developed to account for </w:t>
      </w:r>
      <w:proofErr w:type="spellStart"/>
      <w:r w:rsidRPr="000805E1">
        <w:rPr>
          <w:rFonts w:asciiTheme="majorHAnsi" w:hAnsiTheme="majorHAnsi" w:cstheme="majorHAnsi"/>
          <w:sz w:val="20"/>
          <w:szCs w:val="20"/>
          <w:lang w:val="en-US" w:eastAsia="en-US" w:bidi="he-IL"/>
        </w:rPr>
        <w:t>NbS</w:t>
      </w:r>
      <w:proofErr w:type="spellEnd"/>
      <w:r w:rsidRPr="000805E1">
        <w:rPr>
          <w:rFonts w:asciiTheme="majorHAnsi" w:hAnsiTheme="majorHAnsi" w:cstheme="majorHAnsi"/>
          <w:sz w:val="20"/>
          <w:szCs w:val="20"/>
          <w:lang w:val="en-US" w:eastAsia="en-US" w:bidi="he-IL"/>
        </w:rPr>
        <w:t xml:space="preserve"> for weather-related perils and nature-related risks.</w:t>
      </w:r>
    </w:p>
    <w:p w14:paraId="4BAF31C2" w14:textId="67ECB786" w:rsidR="008D0067" w:rsidRPr="000805E1" w:rsidRDefault="008D0067" w:rsidP="008D0067">
      <w:pPr>
        <w:pStyle w:val="ListParagraph"/>
        <w:numPr>
          <w:ilvl w:val="0"/>
          <w:numId w:val="101"/>
        </w:numPr>
        <w:rPr>
          <w:rFonts w:asciiTheme="majorHAnsi" w:hAnsiTheme="majorHAnsi" w:cstheme="majorHAnsi"/>
          <w:sz w:val="20"/>
          <w:szCs w:val="20"/>
          <w:lang w:val="en-US" w:eastAsia="en-US" w:bidi="he-IL"/>
        </w:rPr>
      </w:pPr>
      <w:r w:rsidRPr="000805E1">
        <w:rPr>
          <w:rFonts w:asciiTheme="majorHAnsi" w:hAnsiTheme="majorHAnsi" w:cstheme="majorHAnsi"/>
          <w:sz w:val="20"/>
          <w:szCs w:val="20"/>
          <w:lang w:val="en-US" w:eastAsia="en-US" w:bidi="he-IL"/>
        </w:rPr>
        <w:t xml:space="preserve">Review emerging methodologies, including any </w:t>
      </w:r>
      <w:r w:rsidR="00E16ED1" w:rsidRPr="000805E1">
        <w:rPr>
          <w:rFonts w:asciiTheme="majorHAnsi" w:hAnsiTheme="majorHAnsi" w:cstheme="majorHAnsi"/>
          <w:sz w:val="20"/>
          <w:szCs w:val="20"/>
          <w:lang w:val="en-US" w:eastAsia="en-US" w:bidi="he-IL"/>
        </w:rPr>
        <w:t>standardized</w:t>
      </w:r>
      <w:r w:rsidRPr="000805E1">
        <w:rPr>
          <w:rFonts w:asciiTheme="majorHAnsi" w:hAnsiTheme="majorHAnsi" w:cstheme="majorHAnsi"/>
          <w:sz w:val="20"/>
          <w:szCs w:val="20"/>
          <w:lang w:val="en-US" w:eastAsia="en-US" w:bidi="he-IL"/>
        </w:rPr>
        <w:t xml:space="preserve"> approaches or metrics</w:t>
      </w:r>
      <w:r w:rsidR="000805E1" w:rsidRPr="000805E1">
        <w:rPr>
          <w:rFonts w:asciiTheme="majorHAnsi" w:hAnsiTheme="majorHAnsi" w:cstheme="majorHAnsi"/>
          <w:sz w:val="20"/>
          <w:szCs w:val="20"/>
          <w:lang w:val="en-US" w:eastAsia="en-US" w:bidi="he-IL"/>
        </w:rPr>
        <w:t xml:space="preserve"> (including co-benefits)</w:t>
      </w:r>
    </w:p>
    <w:p w14:paraId="1B14AF0E" w14:textId="77777777" w:rsidR="008D0067" w:rsidRPr="000805E1" w:rsidRDefault="008D0067" w:rsidP="008D0067">
      <w:pPr>
        <w:pStyle w:val="ListParagraph"/>
        <w:numPr>
          <w:ilvl w:val="0"/>
          <w:numId w:val="101"/>
        </w:numPr>
        <w:rPr>
          <w:rFonts w:asciiTheme="majorHAnsi" w:hAnsiTheme="majorHAnsi" w:cstheme="majorHAnsi"/>
          <w:sz w:val="20"/>
          <w:szCs w:val="20"/>
          <w:lang w:val="en-US" w:eastAsia="en-US" w:bidi="he-IL"/>
        </w:rPr>
      </w:pPr>
      <w:r w:rsidRPr="000805E1">
        <w:rPr>
          <w:rFonts w:asciiTheme="majorHAnsi" w:hAnsiTheme="majorHAnsi" w:cstheme="majorHAnsi"/>
          <w:sz w:val="20"/>
          <w:szCs w:val="20"/>
          <w:lang w:val="en-US" w:eastAsia="en-US" w:bidi="he-IL"/>
        </w:rPr>
        <w:t>Gather input and technical review from Technical Partners.</w:t>
      </w:r>
    </w:p>
    <w:p w14:paraId="5D820A3E" w14:textId="77777777" w:rsidR="008D0067" w:rsidRPr="008D0067" w:rsidRDefault="008D0067" w:rsidP="008D0067">
      <w:pPr>
        <w:pStyle w:val="ListParagraph"/>
        <w:rPr>
          <w:rFonts w:asciiTheme="majorHAnsi" w:hAnsiTheme="majorHAnsi" w:cstheme="majorHAnsi"/>
          <w:sz w:val="20"/>
          <w:szCs w:val="20"/>
          <w:lang w:val="en-US" w:eastAsia="en-US" w:bidi="he-IL"/>
        </w:rPr>
      </w:pPr>
    </w:p>
    <w:p w14:paraId="038C5BD2" w14:textId="77777777" w:rsidR="008D0067" w:rsidRPr="008D0067" w:rsidRDefault="008D0067" w:rsidP="008D0067">
      <w:pPr>
        <w:pStyle w:val="ListParagraph"/>
        <w:numPr>
          <w:ilvl w:val="0"/>
          <w:numId w:val="103"/>
        </w:numPr>
        <w:rPr>
          <w:rFonts w:asciiTheme="majorHAnsi" w:hAnsiTheme="majorHAnsi" w:cstheme="majorHAnsi"/>
          <w:sz w:val="20"/>
          <w:szCs w:val="20"/>
          <w:lang w:val="en-US" w:eastAsia="en-US" w:bidi="he-IL"/>
        </w:rPr>
      </w:pPr>
      <w:r w:rsidRPr="008D0067">
        <w:rPr>
          <w:rFonts w:asciiTheme="majorHAnsi" w:hAnsiTheme="majorHAnsi" w:cstheme="majorHAnsi"/>
          <w:sz w:val="20"/>
          <w:szCs w:val="20"/>
          <w:lang w:val="en-US" w:eastAsia="en-US" w:bidi="he-IL"/>
        </w:rPr>
        <w:t xml:space="preserve">Review how </w:t>
      </w:r>
      <w:proofErr w:type="spellStart"/>
      <w:r w:rsidRPr="008D0067">
        <w:rPr>
          <w:rFonts w:asciiTheme="majorHAnsi" w:hAnsiTheme="majorHAnsi" w:cstheme="majorHAnsi"/>
          <w:sz w:val="20"/>
          <w:szCs w:val="20"/>
          <w:lang w:val="en-US" w:eastAsia="en-US" w:bidi="he-IL"/>
        </w:rPr>
        <w:t>NbS</w:t>
      </w:r>
      <w:proofErr w:type="spellEnd"/>
      <w:r w:rsidRPr="008D0067">
        <w:rPr>
          <w:rFonts w:asciiTheme="majorHAnsi" w:hAnsiTheme="majorHAnsi" w:cstheme="majorHAnsi"/>
          <w:sz w:val="20"/>
          <w:szCs w:val="20"/>
          <w:lang w:val="en-US" w:eastAsia="en-US" w:bidi="he-IL"/>
        </w:rPr>
        <w:t xml:space="preserve"> for risk reduction can be incorporated into risk advisory and client </w:t>
      </w:r>
      <w:proofErr w:type="gramStart"/>
      <w:r w:rsidRPr="008D0067">
        <w:rPr>
          <w:rFonts w:asciiTheme="majorHAnsi" w:hAnsiTheme="majorHAnsi" w:cstheme="majorHAnsi"/>
          <w:sz w:val="20"/>
          <w:szCs w:val="20"/>
          <w:lang w:val="en-US" w:eastAsia="en-US" w:bidi="he-IL"/>
        </w:rPr>
        <w:t>engagement</w:t>
      </w:r>
      <w:proofErr w:type="gramEnd"/>
    </w:p>
    <w:p w14:paraId="3AAB2F74" w14:textId="5AD2DACD" w:rsidR="008D0067" w:rsidRPr="008D0067" w:rsidRDefault="008D0067" w:rsidP="008D0067">
      <w:pPr>
        <w:pStyle w:val="ListParagraph"/>
        <w:numPr>
          <w:ilvl w:val="0"/>
          <w:numId w:val="101"/>
        </w:numPr>
        <w:rPr>
          <w:rFonts w:asciiTheme="majorHAnsi" w:hAnsiTheme="majorHAnsi" w:cstheme="majorHAnsi"/>
          <w:sz w:val="20"/>
          <w:szCs w:val="20"/>
          <w:lang w:val="en-US" w:eastAsia="en-US" w:bidi="he-IL"/>
        </w:rPr>
      </w:pPr>
      <w:r w:rsidRPr="008D0067">
        <w:rPr>
          <w:rFonts w:asciiTheme="majorHAnsi" w:hAnsiTheme="majorHAnsi" w:cstheme="majorHAnsi"/>
          <w:sz w:val="20"/>
          <w:szCs w:val="20"/>
          <w:lang w:val="en-US" w:eastAsia="en-US" w:bidi="he-IL"/>
        </w:rPr>
        <w:t xml:space="preserve">Outline available tools, </w:t>
      </w:r>
      <w:proofErr w:type="gramStart"/>
      <w:r w:rsidRPr="008D0067">
        <w:rPr>
          <w:rFonts w:asciiTheme="majorHAnsi" w:hAnsiTheme="majorHAnsi" w:cstheme="majorHAnsi"/>
          <w:sz w:val="20"/>
          <w:szCs w:val="20"/>
          <w:lang w:val="en-US" w:eastAsia="en-US" w:bidi="he-IL"/>
        </w:rPr>
        <w:t>approaches</w:t>
      </w:r>
      <w:proofErr w:type="gramEnd"/>
      <w:r w:rsidRPr="008D0067">
        <w:rPr>
          <w:rFonts w:asciiTheme="majorHAnsi" w:hAnsiTheme="majorHAnsi" w:cstheme="majorHAnsi"/>
          <w:sz w:val="20"/>
          <w:szCs w:val="20"/>
          <w:lang w:val="en-US" w:eastAsia="en-US" w:bidi="he-IL"/>
        </w:rPr>
        <w:t xml:space="preserve"> and emerging </w:t>
      </w:r>
      <w:r w:rsidR="00E16ED1" w:rsidRPr="008D0067">
        <w:rPr>
          <w:rFonts w:asciiTheme="majorHAnsi" w:hAnsiTheme="majorHAnsi" w:cstheme="majorHAnsi"/>
          <w:sz w:val="20"/>
          <w:szCs w:val="20"/>
          <w:lang w:val="en-US" w:eastAsia="en-US" w:bidi="he-IL"/>
        </w:rPr>
        <w:t>standardized</w:t>
      </w:r>
      <w:r w:rsidRPr="008D0067">
        <w:rPr>
          <w:rFonts w:asciiTheme="majorHAnsi" w:hAnsiTheme="majorHAnsi" w:cstheme="majorHAnsi"/>
          <w:sz w:val="20"/>
          <w:szCs w:val="20"/>
          <w:lang w:val="en-US" w:eastAsia="en-US" w:bidi="he-IL"/>
        </w:rPr>
        <w:t xml:space="preserve"> methods for understanding and quantifying the risk-reduction value of </w:t>
      </w:r>
      <w:proofErr w:type="spellStart"/>
      <w:r w:rsidRPr="008D0067">
        <w:rPr>
          <w:rFonts w:asciiTheme="majorHAnsi" w:hAnsiTheme="majorHAnsi" w:cstheme="majorHAnsi"/>
          <w:sz w:val="20"/>
          <w:szCs w:val="20"/>
          <w:lang w:val="en-US" w:eastAsia="en-US" w:bidi="he-IL"/>
        </w:rPr>
        <w:t>NbS</w:t>
      </w:r>
      <w:proofErr w:type="spellEnd"/>
      <w:r w:rsidRPr="008D0067">
        <w:rPr>
          <w:rFonts w:asciiTheme="majorHAnsi" w:hAnsiTheme="majorHAnsi" w:cstheme="majorHAnsi"/>
          <w:sz w:val="20"/>
          <w:szCs w:val="20"/>
          <w:lang w:val="en-US" w:eastAsia="en-US" w:bidi="he-IL"/>
        </w:rPr>
        <w:t xml:space="preserve"> (for example, reduced hazard intensity, reduced exposure, improved performance, or avoided losses).</w:t>
      </w:r>
    </w:p>
    <w:p w14:paraId="54483667" w14:textId="77777777" w:rsidR="008D0067" w:rsidRDefault="008D0067" w:rsidP="008D0067">
      <w:pPr>
        <w:pStyle w:val="ListParagraph"/>
        <w:numPr>
          <w:ilvl w:val="0"/>
          <w:numId w:val="101"/>
        </w:numPr>
        <w:rPr>
          <w:rFonts w:asciiTheme="majorHAnsi" w:hAnsiTheme="majorHAnsi" w:cstheme="majorHAnsi"/>
          <w:sz w:val="20"/>
          <w:szCs w:val="20"/>
          <w:lang w:val="en-US" w:eastAsia="en-US" w:bidi="he-IL"/>
        </w:rPr>
      </w:pPr>
      <w:r w:rsidRPr="008D0067">
        <w:rPr>
          <w:rFonts w:asciiTheme="majorHAnsi" w:hAnsiTheme="majorHAnsi" w:cstheme="majorHAnsi"/>
          <w:sz w:val="20"/>
          <w:szCs w:val="20"/>
          <w:lang w:val="en-US" w:eastAsia="en-US" w:bidi="he-IL"/>
        </w:rPr>
        <w:lastRenderedPageBreak/>
        <w:t xml:space="preserve">Discuss how these approaches can be leveraged within client engagement and risk-advisory processes to support more informed consideration and potential investment in </w:t>
      </w:r>
      <w:proofErr w:type="spellStart"/>
      <w:r w:rsidRPr="008D0067">
        <w:rPr>
          <w:rFonts w:asciiTheme="majorHAnsi" w:hAnsiTheme="majorHAnsi" w:cstheme="majorHAnsi"/>
          <w:sz w:val="20"/>
          <w:szCs w:val="20"/>
          <w:lang w:val="en-US" w:eastAsia="en-US" w:bidi="he-IL"/>
        </w:rPr>
        <w:t>NbS</w:t>
      </w:r>
      <w:proofErr w:type="spellEnd"/>
      <w:r w:rsidRPr="008D0067">
        <w:rPr>
          <w:rFonts w:asciiTheme="majorHAnsi" w:hAnsiTheme="majorHAnsi" w:cstheme="majorHAnsi"/>
          <w:sz w:val="20"/>
          <w:szCs w:val="20"/>
          <w:lang w:val="en-US" w:eastAsia="en-US" w:bidi="he-IL"/>
        </w:rPr>
        <w:t xml:space="preserve"> by both private- and public-sector clients.</w:t>
      </w:r>
    </w:p>
    <w:p w14:paraId="1E10AE6D" w14:textId="77777777" w:rsidR="008D0067" w:rsidRPr="008D0067" w:rsidRDefault="008D0067" w:rsidP="008D0067">
      <w:pPr>
        <w:pStyle w:val="ListParagraph"/>
        <w:rPr>
          <w:rFonts w:asciiTheme="majorHAnsi" w:hAnsiTheme="majorHAnsi" w:cstheme="majorHAnsi"/>
          <w:sz w:val="20"/>
          <w:szCs w:val="20"/>
          <w:lang w:val="en-US" w:eastAsia="en-US" w:bidi="he-IL"/>
        </w:rPr>
      </w:pPr>
    </w:p>
    <w:p w14:paraId="715BEF46" w14:textId="77777777" w:rsidR="008D0067" w:rsidRPr="008D0067" w:rsidRDefault="008D0067" w:rsidP="008D0067">
      <w:pPr>
        <w:pStyle w:val="ListParagraph"/>
        <w:numPr>
          <w:ilvl w:val="0"/>
          <w:numId w:val="103"/>
        </w:numPr>
        <w:rPr>
          <w:rFonts w:asciiTheme="majorHAnsi" w:hAnsiTheme="majorHAnsi" w:cstheme="majorHAnsi"/>
          <w:sz w:val="20"/>
          <w:szCs w:val="20"/>
          <w:lang w:val="en-US" w:eastAsia="en-US" w:bidi="he-IL"/>
        </w:rPr>
      </w:pPr>
      <w:r w:rsidRPr="008D0067">
        <w:rPr>
          <w:rFonts w:asciiTheme="majorHAnsi" w:hAnsiTheme="majorHAnsi" w:cstheme="majorHAnsi"/>
          <w:sz w:val="20"/>
          <w:szCs w:val="20"/>
          <w:lang w:val="en-US" w:eastAsia="en-US" w:bidi="he-IL"/>
        </w:rPr>
        <w:t>Alignment with the approach for catastrophe-model inputs (Component 1)</w:t>
      </w:r>
    </w:p>
    <w:p w14:paraId="6EF732CF" w14:textId="77777777" w:rsidR="008D0067" w:rsidRPr="008D0067" w:rsidRDefault="008D0067" w:rsidP="008D0067">
      <w:pPr>
        <w:pStyle w:val="ListParagraph"/>
        <w:numPr>
          <w:ilvl w:val="0"/>
          <w:numId w:val="101"/>
        </w:numPr>
        <w:rPr>
          <w:rFonts w:asciiTheme="majorHAnsi" w:hAnsiTheme="majorHAnsi" w:cstheme="majorHAnsi"/>
          <w:sz w:val="20"/>
          <w:szCs w:val="20"/>
          <w:lang w:val="en-US" w:eastAsia="en-US" w:bidi="he-IL"/>
        </w:rPr>
      </w:pPr>
      <w:r w:rsidRPr="008D0067">
        <w:rPr>
          <w:rFonts w:asciiTheme="majorHAnsi" w:hAnsiTheme="majorHAnsi" w:cstheme="majorHAnsi"/>
          <w:sz w:val="20"/>
          <w:szCs w:val="20"/>
          <w:lang w:val="en-US" w:eastAsia="en-US" w:bidi="he-IL"/>
        </w:rPr>
        <w:t xml:space="preserve">Consider how </w:t>
      </w:r>
      <w:proofErr w:type="spellStart"/>
      <w:r w:rsidRPr="008D0067">
        <w:rPr>
          <w:rFonts w:asciiTheme="majorHAnsi" w:hAnsiTheme="majorHAnsi" w:cstheme="majorHAnsi"/>
          <w:sz w:val="20"/>
          <w:szCs w:val="20"/>
          <w:lang w:val="en-US" w:eastAsia="en-US" w:bidi="he-IL"/>
        </w:rPr>
        <w:t>NbS</w:t>
      </w:r>
      <w:proofErr w:type="spellEnd"/>
      <w:r w:rsidRPr="008D0067">
        <w:rPr>
          <w:rFonts w:asciiTheme="majorHAnsi" w:hAnsiTheme="majorHAnsi" w:cstheme="majorHAnsi"/>
          <w:sz w:val="20"/>
          <w:szCs w:val="20"/>
          <w:lang w:val="en-US" w:eastAsia="en-US" w:bidi="he-IL"/>
        </w:rPr>
        <w:t xml:space="preserve"> and their risk-reduction value may be reflected within the input framework for catastrophe models (for example, through changes in ecosystem condition, based on current state and scenario-based improvement through </w:t>
      </w:r>
      <w:proofErr w:type="spellStart"/>
      <w:r w:rsidRPr="008D0067">
        <w:rPr>
          <w:rFonts w:asciiTheme="majorHAnsi" w:hAnsiTheme="majorHAnsi" w:cstheme="majorHAnsi"/>
          <w:sz w:val="20"/>
          <w:szCs w:val="20"/>
          <w:lang w:val="en-US" w:eastAsia="en-US" w:bidi="he-IL"/>
        </w:rPr>
        <w:t>NbS</w:t>
      </w:r>
      <w:proofErr w:type="spellEnd"/>
      <w:r w:rsidRPr="008D0067">
        <w:rPr>
          <w:rFonts w:asciiTheme="majorHAnsi" w:hAnsiTheme="majorHAnsi" w:cstheme="majorHAnsi"/>
          <w:sz w:val="20"/>
          <w:szCs w:val="20"/>
          <w:lang w:val="en-US" w:eastAsia="en-US" w:bidi="he-IL"/>
        </w:rPr>
        <w:t>).</w:t>
      </w:r>
    </w:p>
    <w:p w14:paraId="534E5186" w14:textId="1C651C13" w:rsidR="00910BEB" w:rsidRDefault="008D0067" w:rsidP="008D0067">
      <w:pPr>
        <w:pStyle w:val="ListParagraph"/>
        <w:numPr>
          <w:ilvl w:val="0"/>
          <w:numId w:val="101"/>
        </w:numPr>
        <w:rPr>
          <w:rFonts w:asciiTheme="majorHAnsi" w:hAnsiTheme="majorHAnsi" w:cstheme="majorHAnsi"/>
          <w:sz w:val="20"/>
          <w:szCs w:val="20"/>
          <w:lang w:val="en-US" w:eastAsia="en-US" w:bidi="he-IL"/>
        </w:rPr>
      </w:pPr>
      <w:r w:rsidRPr="008D0067">
        <w:rPr>
          <w:rFonts w:asciiTheme="majorHAnsi" w:hAnsiTheme="majorHAnsi" w:cstheme="majorHAnsi"/>
          <w:sz w:val="20"/>
          <w:szCs w:val="20"/>
          <w:lang w:val="en-US" w:eastAsia="en-US" w:bidi="he-IL"/>
        </w:rPr>
        <w:t>Discuss how such outputs could be applied within the underwriting process.</w:t>
      </w:r>
    </w:p>
    <w:p w14:paraId="7E9A6003" w14:textId="77777777" w:rsidR="00910BEB" w:rsidRDefault="00910BEB" w:rsidP="00D602E3">
      <w:pPr>
        <w:rPr>
          <w:rFonts w:asciiTheme="majorHAnsi" w:hAnsiTheme="majorHAnsi" w:cstheme="majorHAnsi"/>
          <w:sz w:val="20"/>
          <w:szCs w:val="20"/>
          <w:lang w:val="en-US" w:eastAsia="en-US" w:bidi="he-IL"/>
        </w:rPr>
      </w:pPr>
    </w:p>
    <w:p w14:paraId="713E8ADA" w14:textId="40179C51" w:rsidR="003A2FB0" w:rsidRDefault="008D0067" w:rsidP="00D602E3">
      <w:pPr>
        <w:rPr>
          <w:rFonts w:asciiTheme="majorHAnsi" w:hAnsiTheme="majorHAnsi" w:cstheme="majorHAnsi"/>
          <w:sz w:val="20"/>
          <w:szCs w:val="20"/>
          <w:lang w:val="en-US" w:eastAsia="en-US" w:bidi="he-IL"/>
        </w:rPr>
      </w:pPr>
      <w:r>
        <w:rPr>
          <w:rFonts w:asciiTheme="majorHAnsi" w:hAnsiTheme="majorHAnsi" w:cstheme="majorHAnsi"/>
          <w:sz w:val="20"/>
          <w:szCs w:val="20"/>
          <w:lang w:val="en-US" w:eastAsia="en-US" w:bidi="he-IL"/>
        </w:rPr>
        <w:t>[</w:t>
      </w:r>
      <w:r w:rsidRPr="008D0067">
        <w:rPr>
          <w:rFonts w:asciiTheme="majorHAnsi" w:hAnsiTheme="majorHAnsi" w:cstheme="majorHAnsi"/>
          <w:sz w:val="20"/>
          <w:szCs w:val="20"/>
          <w:lang w:val="en-US" w:eastAsia="en-US" w:bidi="he-IL"/>
        </w:rPr>
        <w:t>See Annex for details on the proposed methodology.</w:t>
      </w:r>
      <w:r>
        <w:rPr>
          <w:rFonts w:asciiTheme="majorHAnsi" w:hAnsiTheme="majorHAnsi" w:cstheme="majorHAnsi"/>
          <w:sz w:val="20"/>
          <w:szCs w:val="20"/>
          <w:lang w:val="en-US" w:eastAsia="en-US" w:bidi="he-IL"/>
        </w:rPr>
        <w:t>]</w:t>
      </w:r>
    </w:p>
    <w:p w14:paraId="4AAA9AE9" w14:textId="77777777" w:rsidR="003A2FB0" w:rsidRDefault="003A2FB0" w:rsidP="00D602E3">
      <w:pPr>
        <w:rPr>
          <w:rFonts w:asciiTheme="majorHAnsi" w:hAnsiTheme="majorHAnsi" w:cstheme="majorHAnsi"/>
          <w:sz w:val="20"/>
          <w:szCs w:val="20"/>
          <w:lang w:val="en-US" w:eastAsia="en-US" w:bidi="he-IL"/>
        </w:rPr>
      </w:pPr>
    </w:p>
    <w:p w14:paraId="0362473C" w14:textId="77777777" w:rsidR="00910BEB" w:rsidRPr="00910BEB" w:rsidRDefault="00910BEB" w:rsidP="00910BEB">
      <w:pPr>
        <w:pStyle w:val="Heading3"/>
      </w:pPr>
      <w:bookmarkStart w:id="13" w:name="_Toc214867636"/>
      <w:r w:rsidRPr="00910BEB">
        <w:t>Phase 4 – Component 4</w:t>
      </w:r>
      <w:bookmarkEnd w:id="13"/>
    </w:p>
    <w:p w14:paraId="6C536ABD" w14:textId="77777777" w:rsidR="00910BEB" w:rsidRDefault="00910BEB" w:rsidP="00D602E3">
      <w:pPr>
        <w:rPr>
          <w:rFonts w:asciiTheme="majorHAnsi" w:hAnsiTheme="majorHAnsi" w:cstheme="majorHAnsi"/>
          <w:sz w:val="20"/>
          <w:szCs w:val="20"/>
          <w:lang w:val="en-US" w:eastAsia="en-US" w:bidi="he-IL"/>
        </w:rPr>
      </w:pPr>
    </w:p>
    <w:p w14:paraId="0F2C67CA" w14:textId="77777777" w:rsidR="008D0067" w:rsidRPr="008D0067" w:rsidRDefault="008D0067" w:rsidP="008D0067">
      <w:pPr>
        <w:pStyle w:val="ListParagraph"/>
        <w:numPr>
          <w:ilvl w:val="0"/>
          <w:numId w:val="105"/>
        </w:numPr>
        <w:rPr>
          <w:rFonts w:asciiTheme="majorHAnsi" w:hAnsiTheme="majorHAnsi" w:cstheme="majorHAnsi"/>
          <w:sz w:val="20"/>
          <w:szCs w:val="20"/>
          <w:lang w:val="en-US" w:eastAsia="en-US" w:bidi="he-IL"/>
        </w:rPr>
      </w:pPr>
      <w:r w:rsidRPr="008D0067">
        <w:rPr>
          <w:rFonts w:asciiTheme="majorHAnsi" w:hAnsiTheme="majorHAnsi" w:cstheme="majorHAnsi"/>
          <w:sz w:val="20"/>
          <w:szCs w:val="20"/>
          <w:lang w:val="en-US" w:eastAsia="en-US" w:bidi="he-IL"/>
        </w:rPr>
        <w:t>Review outputs from Component 1, 2 and 3</w:t>
      </w:r>
    </w:p>
    <w:p w14:paraId="35965F10" w14:textId="77777777" w:rsidR="008D0067" w:rsidRPr="008D0067" w:rsidRDefault="008D0067" w:rsidP="008D0067">
      <w:pPr>
        <w:pStyle w:val="ListParagraph"/>
        <w:numPr>
          <w:ilvl w:val="0"/>
          <w:numId w:val="101"/>
        </w:numPr>
        <w:rPr>
          <w:rFonts w:asciiTheme="majorHAnsi" w:hAnsiTheme="majorHAnsi" w:cstheme="majorHAnsi"/>
          <w:sz w:val="20"/>
          <w:szCs w:val="20"/>
          <w:lang w:val="en-US" w:eastAsia="en-US" w:bidi="he-IL"/>
        </w:rPr>
      </w:pPr>
      <w:r w:rsidRPr="008D0067">
        <w:rPr>
          <w:rFonts w:asciiTheme="majorHAnsi" w:hAnsiTheme="majorHAnsi" w:cstheme="majorHAnsi"/>
          <w:sz w:val="20"/>
          <w:szCs w:val="20"/>
          <w:lang w:val="en-US" w:eastAsia="en-US" w:bidi="he-IL"/>
        </w:rPr>
        <w:t xml:space="preserve">Each component already included discussion regarding input for client engagement and underwriting </w:t>
      </w:r>
      <w:proofErr w:type="gramStart"/>
      <w:r w:rsidRPr="008D0067">
        <w:rPr>
          <w:rFonts w:asciiTheme="majorHAnsi" w:hAnsiTheme="majorHAnsi" w:cstheme="majorHAnsi"/>
          <w:sz w:val="20"/>
          <w:szCs w:val="20"/>
          <w:lang w:val="en-US" w:eastAsia="en-US" w:bidi="he-IL"/>
        </w:rPr>
        <w:t>process</w:t>
      </w:r>
      <w:proofErr w:type="gramEnd"/>
    </w:p>
    <w:p w14:paraId="64C9C8DE" w14:textId="77777777" w:rsidR="008D0067" w:rsidRPr="008D0067" w:rsidRDefault="008D0067" w:rsidP="008D0067">
      <w:pPr>
        <w:pStyle w:val="ListParagraph"/>
        <w:numPr>
          <w:ilvl w:val="0"/>
          <w:numId w:val="101"/>
        </w:numPr>
        <w:rPr>
          <w:rFonts w:asciiTheme="majorHAnsi" w:hAnsiTheme="majorHAnsi" w:cstheme="majorHAnsi"/>
          <w:sz w:val="20"/>
          <w:szCs w:val="20"/>
          <w:lang w:val="en-US" w:eastAsia="en-US" w:bidi="he-IL"/>
        </w:rPr>
      </w:pPr>
      <w:r w:rsidRPr="008D0067">
        <w:rPr>
          <w:rFonts w:asciiTheme="majorHAnsi" w:hAnsiTheme="majorHAnsi" w:cstheme="majorHAnsi"/>
          <w:sz w:val="20"/>
          <w:szCs w:val="20"/>
          <w:lang w:val="en-US" w:eastAsia="en-US" w:bidi="he-IL"/>
        </w:rPr>
        <w:t>Review and input from CTG members and Technical Partners</w:t>
      </w:r>
    </w:p>
    <w:p w14:paraId="2C2BE79B" w14:textId="77777777" w:rsidR="008D0067" w:rsidRPr="008D0067" w:rsidRDefault="008D0067" w:rsidP="008D0067">
      <w:pPr>
        <w:pStyle w:val="ListParagraph"/>
        <w:numPr>
          <w:ilvl w:val="0"/>
          <w:numId w:val="101"/>
        </w:numPr>
        <w:rPr>
          <w:rFonts w:asciiTheme="majorHAnsi" w:hAnsiTheme="majorHAnsi" w:cstheme="majorHAnsi"/>
          <w:sz w:val="20"/>
          <w:szCs w:val="20"/>
          <w:lang w:val="en-US" w:eastAsia="en-US" w:bidi="he-IL"/>
        </w:rPr>
      </w:pPr>
      <w:r w:rsidRPr="008D0067">
        <w:rPr>
          <w:rFonts w:asciiTheme="majorHAnsi" w:hAnsiTheme="majorHAnsi" w:cstheme="majorHAnsi"/>
          <w:sz w:val="20"/>
          <w:szCs w:val="20"/>
          <w:lang w:val="en-US" w:eastAsia="en-US" w:bidi="he-IL"/>
        </w:rPr>
        <w:t xml:space="preserve">CTG members consult internally with underwriting and risk management </w:t>
      </w:r>
      <w:proofErr w:type="gramStart"/>
      <w:r w:rsidRPr="008D0067">
        <w:rPr>
          <w:rFonts w:asciiTheme="majorHAnsi" w:hAnsiTheme="majorHAnsi" w:cstheme="majorHAnsi"/>
          <w:sz w:val="20"/>
          <w:szCs w:val="20"/>
          <w:lang w:val="en-US" w:eastAsia="en-US" w:bidi="he-IL"/>
        </w:rPr>
        <w:t>teams</w:t>
      </w:r>
      <w:proofErr w:type="gramEnd"/>
    </w:p>
    <w:p w14:paraId="2B6101EC" w14:textId="77777777" w:rsidR="008D0067" w:rsidRPr="008D0067" w:rsidRDefault="008D0067" w:rsidP="008D0067">
      <w:pPr>
        <w:rPr>
          <w:rFonts w:asciiTheme="majorHAnsi" w:hAnsiTheme="majorHAnsi" w:cstheme="majorHAnsi"/>
          <w:sz w:val="20"/>
          <w:szCs w:val="20"/>
          <w:lang w:val="en-US" w:eastAsia="en-US" w:bidi="he-IL"/>
        </w:rPr>
      </w:pPr>
    </w:p>
    <w:p w14:paraId="439381B1" w14:textId="77777777" w:rsidR="008D0067" w:rsidRPr="008D0067" w:rsidRDefault="008D0067" w:rsidP="008D0067">
      <w:pPr>
        <w:pStyle w:val="ListParagraph"/>
        <w:numPr>
          <w:ilvl w:val="0"/>
          <w:numId w:val="105"/>
        </w:numPr>
        <w:rPr>
          <w:rFonts w:asciiTheme="majorHAnsi" w:hAnsiTheme="majorHAnsi" w:cstheme="majorHAnsi"/>
          <w:sz w:val="20"/>
          <w:szCs w:val="20"/>
          <w:lang w:val="en-US" w:eastAsia="en-US" w:bidi="he-IL"/>
        </w:rPr>
      </w:pPr>
      <w:r w:rsidRPr="008D0067">
        <w:rPr>
          <w:rFonts w:asciiTheme="majorHAnsi" w:hAnsiTheme="majorHAnsi" w:cstheme="majorHAnsi"/>
          <w:sz w:val="20"/>
          <w:szCs w:val="20"/>
          <w:lang w:val="en-US" w:eastAsia="en-US" w:bidi="he-IL"/>
        </w:rPr>
        <w:t>Drafting of aggregated output for Component 4</w:t>
      </w:r>
    </w:p>
    <w:p w14:paraId="0CE33DAB" w14:textId="77777777" w:rsidR="008D0067" w:rsidRPr="008D0067" w:rsidRDefault="008D0067" w:rsidP="008D0067">
      <w:pPr>
        <w:pStyle w:val="ListParagraph"/>
        <w:numPr>
          <w:ilvl w:val="0"/>
          <w:numId w:val="101"/>
        </w:numPr>
        <w:rPr>
          <w:rFonts w:asciiTheme="majorHAnsi" w:hAnsiTheme="majorHAnsi" w:cstheme="majorHAnsi"/>
          <w:sz w:val="20"/>
          <w:szCs w:val="20"/>
          <w:lang w:val="en-US" w:eastAsia="en-US" w:bidi="he-IL"/>
        </w:rPr>
      </w:pPr>
      <w:r w:rsidRPr="008D0067">
        <w:rPr>
          <w:rFonts w:asciiTheme="majorHAnsi" w:hAnsiTheme="majorHAnsi" w:cstheme="majorHAnsi"/>
          <w:sz w:val="20"/>
          <w:szCs w:val="20"/>
          <w:lang w:val="en-US" w:eastAsia="en-US" w:bidi="he-IL"/>
        </w:rPr>
        <w:t>See proposed Output / Deliverable for Component 4</w:t>
      </w:r>
    </w:p>
    <w:p w14:paraId="45206D7D" w14:textId="77777777" w:rsidR="008D0067" w:rsidRDefault="008D0067" w:rsidP="00D602E3">
      <w:pPr>
        <w:rPr>
          <w:rFonts w:asciiTheme="majorHAnsi" w:hAnsiTheme="majorHAnsi" w:cstheme="majorHAnsi"/>
          <w:sz w:val="20"/>
          <w:szCs w:val="20"/>
          <w:lang w:val="en-US" w:eastAsia="en-US" w:bidi="he-IL"/>
        </w:rPr>
      </w:pPr>
    </w:p>
    <w:p w14:paraId="6859403A" w14:textId="77777777" w:rsidR="008D0067" w:rsidRDefault="008D0067" w:rsidP="008D0067">
      <w:pPr>
        <w:rPr>
          <w:rFonts w:asciiTheme="majorHAnsi" w:hAnsiTheme="majorHAnsi" w:cstheme="majorHAnsi"/>
          <w:sz w:val="20"/>
          <w:szCs w:val="20"/>
          <w:lang w:val="en-US" w:eastAsia="en-US" w:bidi="he-IL"/>
        </w:rPr>
      </w:pPr>
      <w:r>
        <w:rPr>
          <w:rFonts w:asciiTheme="majorHAnsi" w:hAnsiTheme="majorHAnsi" w:cstheme="majorHAnsi"/>
          <w:sz w:val="20"/>
          <w:szCs w:val="20"/>
          <w:lang w:val="en-US" w:eastAsia="en-US" w:bidi="he-IL"/>
        </w:rPr>
        <w:t>[</w:t>
      </w:r>
      <w:r w:rsidRPr="008D0067">
        <w:rPr>
          <w:rFonts w:asciiTheme="majorHAnsi" w:hAnsiTheme="majorHAnsi" w:cstheme="majorHAnsi"/>
          <w:sz w:val="20"/>
          <w:szCs w:val="20"/>
          <w:lang w:val="en-US" w:eastAsia="en-US" w:bidi="he-IL"/>
        </w:rPr>
        <w:t>See Annex for details on the proposed methodology.</w:t>
      </w:r>
      <w:r>
        <w:rPr>
          <w:rFonts w:asciiTheme="majorHAnsi" w:hAnsiTheme="majorHAnsi" w:cstheme="majorHAnsi"/>
          <w:sz w:val="20"/>
          <w:szCs w:val="20"/>
          <w:lang w:val="en-US" w:eastAsia="en-US" w:bidi="he-IL"/>
        </w:rPr>
        <w:t>]</w:t>
      </w:r>
    </w:p>
    <w:p w14:paraId="5ED60985" w14:textId="77777777" w:rsidR="00437BE9" w:rsidRDefault="00437BE9" w:rsidP="00D602E3">
      <w:pPr>
        <w:rPr>
          <w:rFonts w:asciiTheme="majorHAnsi" w:hAnsiTheme="majorHAnsi" w:cstheme="majorHAnsi"/>
          <w:sz w:val="20"/>
          <w:szCs w:val="20"/>
          <w:lang w:val="en-US" w:eastAsia="en-US" w:bidi="he-IL"/>
        </w:rPr>
      </w:pPr>
    </w:p>
    <w:p w14:paraId="54381180" w14:textId="47B67B69" w:rsidR="00386F2B" w:rsidRPr="00386F2B" w:rsidRDefault="00386F2B" w:rsidP="00386F2B">
      <w:pPr>
        <w:pStyle w:val="Heading2"/>
        <w:rPr>
          <w:lang w:val="en-US"/>
        </w:rPr>
      </w:pPr>
      <w:bookmarkStart w:id="14" w:name="_Toc214867637"/>
      <w:r w:rsidRPr="00386F2B">
        <w:rPr>
          <w:lang w:val="en-US"/>
        </w:rPr>
        <w:t>Deliverables</w:t>
      </w:r>
      <w:r w:rsidR="00D15166">
        <w:rPr>
          <w:lang w:val="en-US"/>
        </w:rPr>
        <w:t xml:space="preserve"> of the Project</w:t>
      </w:r>
      <w:bookmarkEnd w:id="14"/>
    </w:p>
    <w:p w14:paraId="060441B5" w14:textId="0BB76D69" w:rsidR="00386F2B" w:rsidRDefault="00386F2B" w:rsidP="00D602E3">
      <w:pPr>
        <w:rPr>
          <w:rFonts w:asciiTheme="majorHAnsi" w:hAnsiTheme="majorHAnsi" w:cstheme="majorHAnsi"/>
          <w:sz w:val="20"/>
          <w:szCs w:val="20"/>
          <w:lang w:val="en-US" w:eastAsia="en-US" w:bidi="he-IL"/>
        </w:rPr>
      </w:pPr>
    </w:p>
    <w:tbl>
      <w:tblPr>
        <w:tblStyle w:val="TableGrid"/>
        <w:tblW w:w="0" w:type="auto"/>
        <w:tblLook w:val="04A0" w:firstRow="1" w:lastRow="0" w:firstColumn="1" w:lastColumn="0" w:noHBand="0" w:noVBand="1"/>
      </w:tblPr>
      <w:tblGrid>
        <w:gridCol w:w="1980"/>
        <w:gridCol w:w="7791"/>
      </w:tblGrid>
      <w:tr w:rsidR="00910BEB" w:rsidRPr="00910BEB" w14:paraId="68D2EFC1" w14:textId="77777777" w:rsidTr="00642040">
        <w:tc>
          <w:tcPr>
            <w:tcW w:w="1980" w:type="dxa"/>
            <w:shd w:val="clear" w:color="auto" w:fill="44546A" w:themeFill="text2"/>
          </w:tcPr>
          <w:p w14:paraId="6C5966F0" w14:textId="77777777" w:rsidR="00910BEB" w:rsidRPr="00910BEB" w:rsidRDefault="00910BEB" w:rsidP="00D602E3">
            <w:pPr>
              <w:rPr>
                <w:rFonts w:asciiTheme="majorHAnsi" w:hAnsiTheme="majorHAnsi" w:cstheme="majorHAnsi"/>
                <w:b/>
                <w:bCs/>
                <w:color w:val="FFFFFF" w:themeColor="background1"/>
                <w:sz w:val="20"/>
                <w:szCs w:val="20"/>
                <w:lang w:val="en-US" w:eastAsia="en-US" w:bidi="he-IL"/>
              </w:rPr>
            </w:pPr>
            <w:r w:rsidRPr="00910BEB">
              <w:rPr>
                <w:rFonts w:asciiTheme="majorHAnsi" w:hAnsiTheme="majorHAnsi" w:cstheme="majorHAnsi"/>
                <w:b/>
                <w:bCs/>
                <w:color w:val="FFFFFF" w:themeColor="background1"/>
                <w:sz w:val="20"/>
                <w:szCs w:val="20"/>
                <w:lang w:val="en-US" w:eastAsia="en-US" w:bidi="he-IL"/>
              </w:rPr>
              <w:t xml:space="preserve">Phase </w:t>
            </w:r>
          </w:p>
        </w:tc>
        <w:tc>
          <w:tcPr>
            <w:tcW w:w="7791" w:type="dxa"/>
            <w:shd w:val="clear" w:color="auto" w:fill="44546A" w:themeFill="text2"/>
          </w:tcPr>
          <w:p w14:paraId="3CCEE924" w14:textId="77777777" w:rsidR="00910BEB" w:rsidRPr="00910BEB" w:rsidRDefault="00910BEB" w:rsidP="00D602E3">
            <w:pPr>
              <w:rPr>
                <w:rFonts w:asciiTheme="majorHAnsi" w:hAnsiTheme="majorHAnsi" w:cstheme="majorHAnsi"/>
                <w:b/>
                <w:bCs/>
                <w:color w:val="FFFFFF" w:themeColor="background1"/>
                <w:sz w:val="20"/>
                <w:szCs w:val="20"/>
                <w:lang w:val="en-US" w:eastAsia="en-US" w:bidi="he-IL"/>
              </w:rPr>
            </w:pPr>
            <w:r w:rsidRPr="00910BEB">
              <w:rPr>
                <w:rFonts w:asciiTheme="majorHAnsi" w:hAnsiTheme="majorHAnsi" w:cstheme="majorHAnsi"/>
                <w:b/>
                <w:bCs/>
                <w:color w:val="FFFFFF" w:themeColor="background1"/>
                <w:sz w:val="20"/>
                <w:szCs w:val="20"/>
                <w:lang w:val="en-US" w:eastAsia="en-US" w:bidi="he-IL"/>
              </w:rPr>
              <w:t>Output / Deliverable</w:t>
            </w:r>
          </w:p>
        </w:tc>
      </w:tr>
      <w:tr w:rsidR="00910BEB" w14:paraId="0C25C74E" w14:textId="77777777" w:rsidTr="00050B8E">
        <w:tc>
          <w:tcPr>
            <w:tcW w:w="1980" w:type="dxa"/>
          </w:tcPr>
          <w:p w14:paraId="7F44AB9B" w14:textId="77777777" w:rsidR="00910BEB" w:rsidRPr="00437BE9" w:rsidRDefault="00910BEB" w:rsidP="00D602E3">
            <w:pPr>
              <w:rPr>
                <w:rFonts w:asciiTheme="majorHAnsi" w:hAnsiTheme="majorHAnsi" w:cstheme="majorHAnsi"/>
                <w:b/>
                <w:bCs/>
                <w:sz w:val="20"/>
                <w:szCs w:val="20"/>
                <w:lang w:val="en-US" w:eastAsia="en-US" w:bidi="he-IL"/>
              </w:rPr>
            </w:pPr>
            <w:r w:rsidRPr="00437BE9">
              <w:rPr>
                <w:rFonts w:asciiTheme="majorHAnsi" w:hAnsiTheme="majorHAnsi" w:cstheme="majorHAnsi"/>
                <w:b/>
                <w:bCs/>
                <w:sz w:val="20"/>
                <w:szCs w:val="20"/>
                <w:lang w:val="en-US" w:eastAsia="en-US" w:bidi="he-IL"/>
              </w:rPr>
              <w:t xml:space="preserve">Phase 1 </w:t>
            </w:r>
          </w:p>
        </w:tc>
        <w:tc>
          <w:tcPr>
            <w:tcW w:w="7791" w:type="dxa"/>
          </w:tcPr>
          <w:p w14:paraId="40965CF0" w14:textId="6B6DC026" w:rsidR="00050B8E" w:rsidRPr="00050B8E" w:rsidRDefault="00050B8E" w:rsidP="00050B8E">
            <w:pPr>
              <w:pStyle w:val="ListParagraph"/>
              <w:numPr>
                <w:ilvl w:val="0"/>
                <w:numId w:val="92"/>
              </w:numPr>
              <w:rPr>
                <w:rFonts w:asciiTheme="majorHAnsi" w:hAnsiTheme="majorHAnsi" w:cstheme="majorHAnsi"/>
                <w:sz w:val="20"/>
                <w:szCs w:val="20"/>
                <w:lang w:val="en-US" w:eastAsia="en-US" w:bidi="he-IL"/>
              </w:rPr>
            </w:pPr>
            <w:r w:rsidRPr="00050B8E">
              <w:rPr>
                <w:rFonts w:asciiTheme="majorHAnsi" w:hAnsiTheme="majorHAnsi" w:cstheme="majorHAnsi"/>
                <w:sz w:val="20"/>
                <w:szCs w:val="20"/>
                <w:lang w:val="en-US" w:eastAsia="en-US" w:bidi="he-IL"/>
              </w:rPr>
              <w:t>Mapping of weather-related perils and the ecosystem-condition factors that can influence risk outcomes.</w:t>
            </w:r>
          </w:p>
          <w:p w14:paraId="637849B0" w14:textId="39FA08A4" w:rsidR="00050B8E" w:rsidRPr="00050B8E" w:rsidRDefault="00050B8E" w:rsidP="00050B8E">
            <w:pPr>
              <w:pStyle w:val="ListParagraph"/>
              <w:numPr>
                <w:ilvl w:val="0"/>
                <w:numId w:val="92"/>
              </w:numPr>
              <w:rPr>
                <w:rFonts w:asciiTheme="majorHAnsi" w:hAnsiTheme="majorHAnsi" w:cstheme="majorHAnsi"/>
                <w:sz w:val="20"/>
                <w:szCs w:val="20"/>
                <w:lang w:val="en-US" w:eastAsia="en-US" w:bidi="he-IL"/>
              </w:rPr>
            </w:pPr>
            <w:r w:rsidRPr="00050B8E">
              <w:rPr>
                <w:rFonts w:asciiTheme="majorHAnsi" w:hAnsiTheme="majorHAnsi" w:cstheme="majorHAnsi"/>
                <w:sz w:val="20"/>
                <w:szCs w:val="20"/>
                <w:lang w:val="en-US" w:eastAsia="en-US" w:bidi="he-IL"/>
              </w:rPr>
              <w:t>A consolidated list of existing tools and data sources that provide hazard metrics relevant for insurance applications.</w:t>
            </w:r>
          </w:p>
          <w:p w14:paraId="08785A1D" w14:textId="7215B2D7" w:rsidR="00050B8E" w:rsidRPr="00050B8E" w:rsidRDefault="00050B8E" w:rsidP="00050B8E">
            <w:pPr>
              <w:pStyle w:val="ListParagraph"/>
              <w:numPr>
                <w:ilvl w:val="0"/>
                <w:numId w:val="92"/>
              </w:numPr>
              <w:rPr>
                <w:rFonts w:asciiTheme="majorHAnsi" w:hAnsiTheme="majorHAnsi" w:cstheme="majorHAnsi"/>
                <w:sz w:val="20"/>
                <w:szCs w:val="20"/>
                <w:lang w:val="en-US" w:eastAsia="en-US" w:bidi="he-IL"/>
              </w:rPr>
            </w:pPr>
            <w:r w:rsidRPr="00050B8E">
              <w:rPr>
                <w:rFonts w:asciiTheme="majorHAnsi" w:hAnsiTheme="majorHAnsi" w:cstheme="majorHAnsi"/>
                <w:sz w:val="20"/>
                <w:szCs w:val="20"/>
                <w:lang w:val="en-US" w:eastAsia="en-US" w:bidi="he-IL"/>
              </w:rPr>
              <w:t>A</w:t>
            </w:r>
            <w:r w:rsidR="00D513B3">
              <w:rPr>
                <w:rFonts w:asciiTheme="majorHAnsi" w:hAnsiTheme="majorHAnsi" w:cstheme="majorHAnsi"/>
                <w:sz w:val="20"/>
                <w:szCs w:val="20"/>
                <w:lang w:val="en-US" w:eastAsia="en-US" w:bidi="he-IL"/>
              </w:rPr>
              <w:t xml:space="preserve">n aligned </w:t>
            </w:r>
            <w:r w:rsidRPr="00050B8E">
              <w:rPr>
                <w:rFonts w:asciiTheme="majorHAnsi" w:hAnsiTheme="majorHAnsi" w:cstheme="majorHAnsi"/>
                <w:sz w:val="20"/>
                <w:szCs w:val="20"/>
                <w:lang w:val="en-US" w:eastAsia="en-US" w:bidi="he-IL"/>
              </w:rPr>
              <w:t>framework and set of metrics for incorporating ecosystem condition into risk models (covering both current state and scenario-based considerations) for selected peril–ecosystem combinations.</w:t>
            </w:r>
          </w:p>
        </w:tc>
      </w:tr>
      <w:tr w:rsidR="00910BEB" w14:paraId="68CC22CD" w14:textId="77777777" w:rsidTr="00050B8E">
        <w:tc>
          <w:tcPr>
            <w:tcW w:w="1980" w:type="dxa"/>
          </w:tcPr>
          <w:p w14:paraId="205BBABA" w14:textId="77777777" w:rsidR="00910BEB" w:rsidRPr="00437BE9" w:rsidRDefault="00910BEB" w:rsidP="00D602E3">
            <w:pPr>
              <w:rPr>
                <w:rFonts w:asciiTheme="majorHAnsi" w:hAnsiTheme="majorHAnsi" w:cstheme="majorHAnsi"/>
                <w:b/>
                <w:bCs/>
                <w:sz w:val="20"/>
                <w:szCs w:val="20"/>
                <w:lang w:val="en-US" w:eastAsia="en-US" w:bidi="he-IL"/>
              </w:rPr>
            </w:pPr>
            <w:r w:rsidRPr="00437BE9">
              <w:rPr>
                <w:rFonts w:asciiTheme="majorHAnsi" w:hAnsiTheme="majorHAnsi" w:cstheme="majorHAnsi"/>
                <w:b/>
                <w:bCs/>
                <w:sz w:val="20"/>
                <w:szCs w:val="20"/>
                <w:lang w:val="en-US" w:eastAsia="en-US" w:bidi="he-IL"/>
              </w:rPr>
              <w:t>Phase 2</w:t>
            </w:r>
          </w:p>
        </w:tc>
        <w:tc>
          <w:tcPr>
            <w:tcW w:w="7791" w:type="dxa"/>
          </w:tcPr>
          <w:p w14:paraId="489463BB" w14:textId="77777777" w:rsidR="00050B8E" w:rsidRPr="00050B8E" w:rsidRDefault="00050B8E" w:rsidP="00050B8E">
            <w:pPr>
              <w:pStyle w:val="ListParagraph"/>
              <w:numPr>
                <w:ilvl w:val="0"/>
                <w:numId w:val="92"/>
              </w:numPr>
              <w:rPr>
                <w:rFonts w:asciiTheme="majorHAnsi" w:hAnsiTheme="majorHAnsi" w:cstheme="majorHAnsi"/>
                <w:sz w:val="20"/>
                <w:szCs w:val="20"/>
                <w:lang w:val="en-US" w:eastAsia="en-US" w:bidi="he-IL"/>
              </w:rPr>
            </w:pPr>
            <w:r w:rsidRPr="00050B8E">
              <w:rPr>
                <w:rFonts w:asciiTheme="majorHAnsi" w:hAnsiTheme="majorHAnsi" w:cstheme="majorHAnsi"/>
                <w:sz w:val="20"/>
                <w:szCs w:val="20"/>
                <w:lang w:val="en-US" w:eastAsia="en-US" w:bidi="he-IL"/>
              </w:rPr>
              <w:t>A nature-related risk and opportunity register (for example, by sector or ecosystem).</w:t>
            </w:r>
          </w:p>
          <w:p w14:paraId="7FC2D8DE" w14:textId="6DB4ADE1" w:rsidR="00050B8E" w:rsidRPr="00050B8E" w:rsidRDefault="00050B8E" w:rsidP="00050B8E">
            <w:pPr>
              <w:pStyle w:val="ListParagraph"/>
              <w:numPr>
                <w:ilvl w:val="0"/>
                <w:numId w:val="92"/>
              </w:numPr>
              <w:rPr>
                <w:rFonts w:asciiTheme="majorHAnsi" w:hAnsiTheme="majorHAnsi" w:cstheme="majorHAnsi"/>
                <w:sz w:val="20"/>
                <w:szCs w:val="20"/>
                <w:lang w:val="en-US" w:eastAsia="en-US" w:bidi="he-IL"/>
              </w:rPr>
            </w:pPr>
            <w:r w:rsidRPr="00050B8E">
              <w:rPr>
                <w:rFonts w:asciiTheme="majorHAnsi" w:hAnsiTheme="majorHAnsi" w:cstheme="majorHAnsi"/>
                <w:sz w:val="20"/>
                <w:szCs w:val="20"/>
                <w:lang w:val="en-US" w:eastAsia="en-US" w:bidi="he-IL"/>
              </w:rPr>
              <w:t xml:space="preserve">A </w:t>
            </w:r>
            <w:r>
              <w:rPr>
                <w:rFonts w:asciiTheme="majorHAnsi" w:hAnsiTheme="majorHAnsi" w:cstheme="majorHAnsi"/>
                <w:sz w:val="20"/>
                <w:szCs w:val="20"/>
                <w:lang w:val="en-US" w:eastAsia="en-US" w:bidi="he-IL"/>
              </w:rPr>
              <w:t>consolidated</w:t>
            </w:r>
            <w:r w:rsidRPr="00050B8E">
              <w:rPr>
                <w:rFonts w:asciiTheme="majorHAnsi" w:hAnsiTheme="majorHAnsi" w:cstheme="majorHAnsi"/>
                <w:sz w:val="20"/>
                <w:szCs w:val="20"/>
                <w:lang w:val="en-US" w:eastAsia="en-US" w:bidi="he-IL"/>
              </w:rPr>
              <w:t xml:space="preserve"> list of tools and data sources providing hazard and exposure metrics relevant for insurance.</w:t>
            </w:r>
          </w:p>
          <w:p w14:paraId="7A173EAB" w14:textId="7106B7FA" w:rsidR="00050B8E" w:rsidRDefault="00050B8E" w:rsidP="00050B8E">
            <w:pPr>
              <w:pStyle w:val="ListParagraph"/>
              <w:numPr>
                <w:ilvl w:val="0"/>
                <w:numId w:val="92"/>
              </w:numPr>
              <w:rPr>
                <w:rFonts w:asciiTheme="majorHAnsi" w:hAnsiTheme="majorHAnsi" w:cstheme="majorHAnsi"/>
                <w:sz w:val="20"/>
                <w:szCs w:val="20"/>
                <w:lang w:val="en-US" w:eastAsia="en-US" w:bidi="he-IL"/>
              </w:rPr>
            </w:pPr>
            <w:r w:rsidRPr="00050B8E">
              <w:rPr>
                <w:rFonts w:asciiTheme="majorHAnsi" w:hAnsiTheme="majorHAnsi" w:cstheme="majorHAnsi"/>
                <w:sz w:val="20"/>
                <w:szCs w:val="20"/>
                <w:lang w:val="en-US" w:eastAsia="en-US" w:bidi="he-IL"/>
              </w:rPr>
              <w:t>A pilot or draft framework to support the quantification of potential financial losses for selected peril–ecosystem combinations.</w:t>
            </w:r>
          </w:p>
        </w:tc>
      </w:tr>
      <w:tr w:rsidR="00910BEB" w14:paraId="3F8119B1" w14:textId="77777777" w:rsidTr="00050B8E">
        <w:tc>
          <w:tcPr>
            <w:tcW w:w="1980" w:type="dxa"/>
          </w:tcPr>
          <w:p w14:paraId="7A5FF5E6" w14:textId="77777777" w:rsidR="00910BEB" w:rsidRPr="00437BE9" w:rsidRDefault="00910BEB" w:rsidP="00D602E3">
            <w:pPr>
              <w:rPr>
                <w:rFonts w:asciiTheme="majorHAnsi" w:hAnsiTheme="majorHAnsi" w:cstheme="majorHAnsi"/>
                <w:b/>
                <w:bCs/>
                <w:sz w:val="20"/>
                <w:szCs w:val="20"/>
                <w:lang w:val="en-US" w:eastAsia="en-US" w:bidi="he-IL"/>
              </w:rPr>
            </w:pPr>
            <w:r w:rsidRPr="00437BE9">
              <w:rPr>
                <w:rFonts w:asciiTheme="majorHAnsi" w:hAnsiTheme="majorHAnsi" w:cstheme="majorHAnsi"/>
                <w:b/>
                <w:bCs/>
                <w:sz w:val="20"/>
                <w:szCs w:val="20"/>
                <w:lang w:val="en-US" w:eastAsia="en-US" w:bidi="he-IL"/>
              </w:rPr>
              <w:t>Phase 3</w:t>
            </w:r>
          </w:p>
        </w:tc>
        <w:tc>
          <w:tcPr>
            <w:tcW w:w="7791" w:type="dxa"/>
          </w:tcPr>
          <w:p w14:paraId="0310FC37" w14:textId="77777777" w:rsidR="00050B8E" w:rsidRPr="00050B8E" w:rsidRDefault="00050B8E" w:rsidP="00050B8E">
            <w:pPr>
              <w:pStyle w:val="ListParagraph"/>
              <w:numPr>
                <w:ilvl w:val="0"/>
                <w:numId w:val="92"/>
              </w:numPr>
              <w:rPr>
                <w:rFonts w:asciiTheme="majorHAnsi" w:hAnsiTheme="majorHAnsi" w:cstheme="majorHAnsi"/>
                <w:sz w:val="20"/>
                <w:szCs w:val="20"/>
                <w:lang w:val="en-US" w:eastAsia="en-US" w:bidi="he-IL"/>
              </w:rPr>
            </w:pPr>
            <w:r w:rsidRPr="00050B8E">
              <w:rPr>
                <w:rFonts w:asciiTheme="majorHAnsi" w:hAnsiTheme="majorHAnsi" w:cstheme="majorHAnsi"/>
                <w:sz w:val="20"/>
                <w:szCs w:val="20"/>
                <w:lang w:val="en-US" w:eastAsia="en-US" w:bidi="he-IL"/>
              </w:rPr>
              <w:t>A list of nature-based risk-reduction measures (for example, by sector or ecosystem).</w:t>
            </w:r>
          </w:p>
          <w:p w14:paraId="3DA86CAC" w14:textId="77777777" w:rsidR="00050B8E" w:rsidRPr="00050B8E" w:rsidRDefault="00050B8E" w:rsidP="00050B8E">
            <w:pPr>
              <w:pStyle w:val="ListParagraph"/>
              <w:numPr>
                <w:ilvl w:val="0"/>
                <w:numId w:val="92"/>
              </w:numPr>
              <w:rPr>
                <w:rFonts w:asciiTheme="majorHAnsi" w:hAnsiTheme="majorHAnsi" w:cstheme="majorHAnsi"/>
                <w:sz w:val="20"/>
                <w:szCs w:val="20"/>
                <w:lang w:val="en-US" w:eastAsia="en-US" w:bidi="he-IL"/>
              </w:rPr>
            </w:pPr>
            <w:r w:rsidRPr="00050B8E">
              <w:rPr>
                <w:rFonts w:asciiTheme="majorHAnsi" w:hAnsiTheme="majorHAnsi" w:cstheme="majorHAnsi"/>
                <w:sz w:val="20"/>
                <w:szCs w:val="20"/>
                <w:lang w:val="en-US" w:eastAsia="en-US" w:bidi="he-IL"/>
              </w:rPr>
              <w:t>A consolidated list of tools and data sources relevant for assessing nature-based risk-reduction potential.</w:t>
            </w:r>
          </w:p>
          <w:p w14:paraId="4E697A2E" w14:textId="78E40D99" w:rsidR="00910BEB" w:rsidRDefault="00050B8E" w:rsidP="00050B8E">
            <w:pPr>
              <w:pStyle w:val="ListParagraph"/>
              <w:numPr>
                <w:ilvl w:val="0"/>
                <w:numId w:val="92"/>
              </w:numPr>
              <w:rPr>
                <w:rFonts w:asciiTheme="majorHAnsi" w:hAnsiTheme="majorHAnsi" w:cstheme="majorHAnsi"/>
                <w:sz w:val="20"/>
                <w:szCs w:val="20"/>
                <w:lang w:val="en-US" w:eastAsia="en-US" w:bidi="he-IL"/>
              </w:rPr>
            </w:pPr>
            <w:r w:rsidRPr="00050B8E">
              <w:rPr>
                <w:rFonts w:asciiTheme="majorHAnsi" w:hAnsiTheme="majorHAnsi" w:cstheme="majorHAnsi"/>
                <w:sz w:val="20"/>
                <w:szCs w:val="20"/>
                <w:lang w:val="en-US" w:eastAsia="en-US" w:bidi="he-IL"/>
              </w:rPr>
              <w:t>A</w:t>
            </w:r>
            <w:r w:rsidR="00D513B3">
              <w:rPr>
                <w:rFonts w:asciiTheme="majorHAnsi" w:hAnsiTheme="majorHAnsi" w:cstheme="majorHAnsi"/>
                <w:sz w:val="20"/>
                <w:szCs w:val="20"/>
                <w:lang w:val="en-US" w:eastAsia="en-US" w:bidi="he-IL"/>
              </w:rPr>
              <w:t xml:space="preserve">n aligned </w:t>
            </w:r>
            <w:r w:rsidRPr="00050B8E">
              <w:rPr>
                <w:rFonts w:asciiTheme="majorHAnsi" w:hAnsiTheme="majorHAnsi" w:cstheme="majorHAnsi"/>
                <w:sz w:val="20"/>
                <w:szCs w:val="20"/>
                <w:lang w:val="en-US" w:eastAsia="en-US" w:bidi="he-IL"/>
              </w:rPr>
              <w:t>framework for accounting for nature-based solutions within risk assessments for selected perils.</w:t>
            </w:r>
          </w:p>
        </w:tc>
      </w:tr>
      <w:tr w:rsidR="00910BEB" w14:paraId="3B35EF18" w14:textId="77777777" w:rsidTr="00050B8E">
        <w:tc>
          <w:tcPr>
            <w:tcW w:w="1980" w:type="dxa"/>
          </w:tcPr>
          <w:p w14:paraId="56C3731E" w14:textId="77777777" w:rsidR="00910BEB" w:rsidRPr="00437BE9" w:rsidRDefault="00910BEB" w:rsidP="00D602E3">
            <w:pPr>
              <w:rPr>
                <w:rFonts w:asciiTheme="majorHAnsi" w:hAnsiTheme="majorHAnsi" w:cstheme="majorHAnsi"/>
                <w:b/>
                <w:bCs/>
                <w:sz w:val="20"/>
                <w:szCs w:val="20"/>
                <w:lang w:val="en-US" w:eastAsia="en-US" w:bidi="he-IL"/>
              </w:rPr>
            </w:pPr>
            <w:r w:rsidRPr="00437BE9">
              <w:rPr>
                <w:rFonts w:asciiTheme="majorHAnsi" w:hAnsiTheme="majorHAnsi" w:cstheme="majorHAnsi"/>
                <w:b/>
                <w:bCs/>
                <w:sz w:val="20"/>
                <w:szCs w:val="20"/>
                <w:lang w:val="en-US" w:eastAsia="en-US" w:bidi="he-IL"/>
              </w:rPr>
              <w:t>Phase 4</w:t>
            </w:r>
          </w:p>
        </w:tc>
        <w:tc>
          <w:tcPr>
            <w:tcW w:w="7791" w:type="dxa"/>
          </w:tcPr>
          <w:p w14:paraId="298FF317" w14:textId="77777777" w:rsidR="00050B8E" w:rsidRDefault="00050B8E" w:rsidP="00675BA0">
            <w:pPr>
              <w:pStyle w:val="ListParagraph"/>
              <w:numPr>
                <w:ilvl w:val="0"/>
                <w:numId w:val="92"/>
              </w:numPr>
              <w:rPr>
                <w:rFonts w:asciiTheme="majorHAnsi" w:hAnsiTheme="majorHAnsi" w:cstheme="majorHAnsi"/>
                <w:sz w:val="20"/>
                <w:szCs w:val="20"/>
                <w:lang w:val="en-US" w:eastAsia="en-US" w:bidi="he-IL"/>
              </w:rPr>
            </w:pPr>
            <w:r w:rsidRPr="00050B8E">
              <w:rPr>
                <w:rFonts w:asciiTheme="majorHAnsi" w:hAnsiTheme="majorHAnsi" w:cstheme="majorHAnsi"/>
                <w:sz w:val="20"/>
                <w:szCs w:val="20"/>
                <w:lang w:val="en-US" w:eastAsia="en-US" w:bidi="he-IL"/>
              </w:rPr>
              <w:t>Priority engagement topics and questions for insurers to use with clients (for example, by sector or ecosystem).</w:t>
            </w:r>
          </w:p>
          <w:p w14:paraId="23241B3E" w14:textId="7D6D4339" w:rsidR="00BB0CA4" w:rsidRDefault="00050B8E" w:rsidP="00675BA0">
            <w:pPr>
              <w:pStyle w:val="ListParagraph"/>
              <w:numPr>
                <w:ilvl w:val="0"/>
                <w:numId w:val="92"/>
              </w:numPr>
              <w:rPr>
                <w:rFonts w:asciiTheme="majorHAnsi" w:hAnsiTheme="majorHAnsi" w:cstheme="majorHAnsi"/>
                <w:sz w:val="20"/>
                <w:szCs w:val="20"/>
                <w:lang w:val="en-US" w:eastAsia="en-US" w:bidi="he-IL"/>
              </w:rPr>
            </w:pPr>
            <w:r w:rsidRPr="00050B8E">
              <w:rPr>
                <w:rFonts w:asciiTheme="majorHAnsi" w:hAnsiTheme="majorHAnsi" w:cstheme="majorHAnsi"/>
                <w:sz w:val="20"/>
                <w:szCs w:val="20"/>
                <w:lang w:val="en-US" w:eastAsia="en-US" w:bidi="he-IL"/>
              </w:rPr>
              <w:t>A translation of how these outputs can be used within underwriting practice, illustrating where they can inform specific stages of the underwriting process.</w:t>
            </w:r>
          </w:p>
        </w:tc>
      </w:tr>
      <w:tr w:rsidR="00910BEB" w14:paraId="5A04C8DC" w14:textId="77777777" w:rsidTr="00050B8E">
        <w:tc>
          <w:tcPr>
            <w:tcW w:w="1980" w:type="dxa"/>
          </w:tcPr>
          <w:p w14:paraId="1F222FD5" w14:textId="4FC6AEFC" w:rsidR="00910BEB" w:rsidRPr="00437BE9" w:rsidRDefault="00910BEB" w:rsidP="00D602E3">
            <w:pPr>
              <w:rPr>
                <w:rFonts w:asciiTheme="majorHAnsi" w:hAnsiTheme="majorHAnsi" w:cstheme="majorHAnsi"/>
                <w:b/>
                <w:bCs/>
                <w:sz w:val="20"/>
                <w:szCs w:val="20"/>
                <w:lang w:val="en-US" w:eastAsia="en-US" w:bidi="he-IL"/>
              </w:rPr>
            </w:pPr>
            <w:r w:rsidRPr="00437BE9">
              <w:rPr>
                <w:rFonts w:asciiTheme="majorHAnsi" w:hAnsiTheme="majorHAnsi" w:cstheme="majorHAnsi"/>
                <w:b/>
                <w:bCs/>
                <w:sz w:val="20"/>
                <w:szCs w:val="20"/>
                <w:lang w:val="en-US" w:eastAsia="en-US" w:bidi="he-IL"/>
              </w:rPr>
              <w:t>Final Output</w:t>
            </w:r>
            <w:r w:rsidR="005B2D80">
              <w:rPr>
                <w:rFonts w:asciiTheme="majorHAnsi" w:hAnsiTheme="majorHAnsi" w:cstheme="majorHAnsi"/>
                <w:b/>
                <w:bCs/>
                <w:sz w:val="20"/>
                <w:szCs w:val="20"/>
                <w:lang w:val="en-US" w:eastAsia="en-US" w:bidi="he-IL"/>
              </w:rPr>
              <w:t xml:space="preserve"> for Publication</w:t>
            </w:r>
          </w:p>
        </w:tc>
        <w:tc>
          <w:tcPr>
            <w:tcW w:w="7791" w:type="dxa"/>
          </w:tcPr>
          <w:p w14:paraId="7D91B61F" w14:textId="108FEE05" w:rsidR="00910BEB" w:rsidRDefault="00910BEB" w:rsidP="00D602E3">
            <w:pPr>
              <w:rPr>
                <w:rFonts w:asciiTheme="majorHAnsi" w:hAnsiTheme="majorHAnsi" w:cstheme="majorHAnsi"/>
                <w:sz w:val="20"/>
                <w:szCs w:val="20"/>
                <w:lang w:val="en-US" w:eastAsia="en-US" w:bidi="he-IL"/>
              </w:rPr>
            </w:pPr>
            <w:r w:rsidRPr="00675BA0">
              <w:rPr>
                <w:rFonts w:asciiTheme="majorHAnsi" w:hAnsiTheme="majorHAnsi" w:cstheme="majorHAnsi"/>
                <w:sz w:val="20"/>
                <w:szCs w:val="20"/>
                <w:highlight w:val="yellow"/>
                <w:lang w:val="en-US" w:eastAsia="en-US" w:bidi="he-IL"/>
              </w:rPr>
              <w:t>[</w:t>
            </w:r>
            <w:r w:rsidR="00050B8E">
              <w:rPr>
                <w:rFonts w:asciiTheme="majorHAnsi" w:hAnsiTheme="majorHAnsi" w:cstheme="majorHAnsi"/>
                <w:sz w:val="20"/>
                <w:szCs w:val="20"/>
                <w:highlight w:val="yellow"/>
                <w:lang w:val="en-US" w:eastAsia="en-US" w:bidi="he-IL"/>
              </w:rPr>
              <w:t>For Discussion with CTG</w:t>
            </w:r>
            <w:r w:rsidRPr="00675BA0">
              <w:rPr>
                <w:rFonts w:asciiTheme="majorHAnsi" w:hAnsiTheme="majorHAnsi" w:cstheme="majorHAnsi"/>
                <w:sz w:val="20"/>
                <w:szCs w:val="20"/>
                <w:highlight w:val="yellow"/>
                <w:lang w:val="en-US" w:eastAsia="en-US" w:bidi="he-IL"/>
              </w:rPr>
              <w:t>]</w:t>
            </w:r>
          </w:p>
        </w:tc>
      </w:tr>
    </w:tbl>
    <w:p w14:paraId="5E4D36C5" w14:textId="61EFBB0B" w:rsidR="00B47364" w:rsidRDefault="00B47364">
      <w:pPr>
        <w:spacing w:after="160" w:line="259" w:lineRule="auto"/>
        <w:rPr>
          <w:rFonts w:asciiTheme="majorHAnsi" w:hAnsiTheme="majorHAnsi" w:cstheme="majorHAnsi"/>
          <w:sz w:val="20"/>
          <w:szCs w:val="20"/>
          <w:lang w:val="en-US" w:eastAsia="en-US" w:bidi="he-IL"/>
        </w:rPr>
      </w:pPr>
    </w:p>
    <w:p w14:paraId="5BCBFD6A" w14:textId="77777777" w:rsidR="00386F2B" w:rsidRPr="00910BEB" w:rsidRDefault="00910BEB" w:rsidP="00386F2B">
      <w:pPr>
        <w:pStyle w:val="Heading2"/>
        <w:rPr>
          <w:lang w:val="en-US"/>
        </w:rPr>
      </w:pPr>
      <w:bookmarkStart w:id="15" w:name="_Toc214867638"/>
      <w:r w:rsidRPr="00910BEB">
        <w:rPr>
          <w:lang w:val="en-US"/>
        </w:rPr>
        <w:lastRenderedPageBreak/>
        <w:t>Core Thematic Group</w:t>
      </w:r>
      <w:bookmarkEnd w:id="15"/>
    </w:p>
    <w:p w14:paraId="3BC5A69F" w14:textId="77777777" w:rsidR="00910BEB" w:rsidRDefault="00910BEB" w:rsidP="00D602E3">
      <w:pPr>
        <w:rPr>
          <w:rFonts w:asciiTheme="majorHAnsi" w:hAnsiTheme="majorHAnsi" w:cstheme="majorHAnsi"/>
          <w:sz w:val="20"/>
          <w:szCs w:val="20"/>
          <w:lang w:val="en-US" w:eastAsia="en-US" w:bidi="he-IL"/>
        </w:rPr>
      </w:pPr>
    </w:p>
    <w:p w14:paraId="128568A2" w14:textId="7658432A" w:rsidR="00910BEB" w:rsidRPr="006B38AE" w:rsidRDefault="00E85F32" w:rsidP="006B38AE">
      <w:pPr>
        <w:rPr>
          <w:rFonts w:asciiTheme="majorHAnsi" w:hAnsiTheme="majorHAnsi" w:cstheme="majorHAnsi"/>
          <w:b/>
          <w:bCs/>
          <w:sz w:val="20"/>
          <w:szCs w:val="20"/>
          <w:lang w:val="en-US" w:eastAsia="en-US" w:bidi="he-IL"/>
        </w:rPr>
      </w:pPr>
      <w:r w:rsidRPr="006B38AE">
        <w:rPr>
          <w:rFonts w:asciiTheme="majorHAnsi" w:hAnsiTheme="majorHAnsi" w:cstheme="majorHAnsi"/>
          <w:b/>
          <w:bCs/>
          <w:sz w:val="20"/>
          <w:szCs w:val="20"/>
          <w:lang w:val="en-US" w:eastAsia="en-US" w:bidi="he-IL"/>
        </w:rPr>
        <w:t>Core Thematic Group</w:t>
      </w:r>
      <w:r w:rsidR="00386F2B" w:rsidRPr="006B38AE">
        <w:rPr>
          <w:rFonts w:asciiTheme="majorHAnsi" w:hAnsiTheme="majorHAnsi" w:cstheme="majorHAnsi"/>
          <w:b/>
          <w:bCs/>
          <w:sz w:val="20"/>
          <w:szCs w:val="20"/>
          <w:lang w:val="en-US" w:eastAsia="en-US" w:bidi="he-IL"/>
        </w:rPr>
        <w:t xml:space="preserve"> Members</w:t>
      </w:r>
    </w:p>
    <w:p w14:paraId="6843ABF6" w14:textId="77777777" w:rsidR="0087293C" w:rsidRDefault="0087293C" w:rsidP="00D602E3">
      <w:pPr>
        <w:rPr>
          <w:rFonts w:asciiTheme="majorHAnsi" w:hAnsiTheme="majorHAnsi" w:cstheme="majorHAnsi"/>
          <w:sz w:val="20"/>
          <w:szCs w:val="20"/>
          <w:lang w:val="en-US" w:eastAsia="en-US" w:bidi="he-IL"/>
        </w:rPr>
      </w:pPr>
    </w:p>
    <w:p w14:paraId="18164091" w14:textId="5A6B07E1" w:rsidR="00910BEB" w:rsidRDefault="00E85F32" w:rsidP="00D602E3">
      <w:pPr>
        <w:rPr>
          <w:rFonts w:asciiTheme="majorHAnsi" w:hAnsiTheme="majorHAnsi" w:cstheme="majorHAnsi"/>
          <w:sz w:val="20"/>
          <w:szCs w:val="20"/>
          <w:lang w:val="en-US" w:eastAsia="en-US" w:bidi="he-IL"/>
        </w:rPr>
      </w:pPr>
      <w:r w:rsidRPr="00E85F32">
        <w:rPr>
          <w:rFonts w:asciiTheme="majorHAnsi" w:hAnsiTheme="majorHAnsi" w:cstheme="majorHAnsi"/>
          <w:noProof/>
          <w:sz w:val="20"/>
          <w:szCs w:val="20"/>
          <w:lang w:eastAsia="en-US" w:bidi="he-IL"/>
        </w:rPr>
        <w:drawing>
          <wp:inline distT="0" distB="0" distL="0" distR="0" wp14:anchorId="571A30BB" wp14:editId="215747B4">
            <wp:extent cx="6210935" cy="1581150"/>
            <wp:effectExtent l="0" t="0" r="0" b="6350"/>
            <wp:docPr id="140245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51624" name=""/>
                    <pic:cNvPicPr/>
                  </pic:nvPicPr>
                  <pic:blipFill>
                    <a:blip r:embed="rId15"/>
                    <a:stretch>
                      <a:fillRect/>
                    </a:stretch>
                  </pic:blipFill>
                  <pic:spPr>
                    <a:xfrm>
                      <a:off x="0" y="0"/>
                      <a:ext cx="6210935" cy="1581150"/>
                    </a:xfrm>
                    <a:prstGeom prst="rect">
                      <a:avLst/>
                    </a:prstGeom>
                  </pic:spPr>
                </pic:pic>
              </a:graphicData>
            </a:graphic>
          </wp:inline>
        </w:drawing>
      </w:r>
    </w:p>
    <w:p w14:paraId="28B7B067" w14:textId="77777777" w:rsidR="00386F2B" w:rsidRDefault="00386F2B" w:rsidP="00D602E3">
      <w:pPr>
        <w:rPr>
          <w:rFonts w:asciiTheme="majorHAnsi" w:hAnsiTheme="majorHAnsi" w:cstheme="majorHAnsi"/>
          <w:sz w:val="20"/>
          <w:szCs w:val="20"/>
          <w:lang w:val="en-US" w:eastAsia="en-US" w:bidi="he-IL"/>
        </w:rPr>
      </w:pPr>
    </w:p>
    <w:p w14:paraId="29F71BF6" w14:textId="77777777" w:rsidR="00386F2B" w:rsidRPr="006B38AE" w:rsidRDefault="00386F2B" w:rsidP="006B38AE">
      <w:pPr>
        <w:rPr>
          <w:rFonts w:asciiTheme="majorHAnsi" w:hAnsiTheme="majorHAnsi" w:cstheme="majorHAnsi"/>
          <w:b/>
          <w:bCs/>
          <w:sz w:val="20"/>
          <w:szCs w:val="20"/>
          <w:lang w:val="en-US" w:eastAsia="en-US" w:bidi="he-IL"/>
        </w:rPr>
      </w:pPr>
      <w:r w:rsidRPr="006B38AE">
        <w:rPr>
          <w:rFonts w:asciiTheme="majorHAnsi" w:hAnsiTheme="majorHAnsi" w:cstheme="majorHAnsi"/>
          <w:b/>
          <w:bCs/>
          <w:sz w:val="20"/>
          <w:szCs w:val="20"/>
          <w:lang w:val="en-US" w:eastAsia="en-US" w:bidi="he-IL"/>
        </w:rPr>
        <w:t>Technical Partners</w:t>
      </w:r>
    </w:p>
    <w:p w14:paraId="39D1E639" w14:textId="77777777" w:rsidR="007B37D6" w:rsidRDefault="007B37D6" w:rsidP="00D602E3">
      <w:pPr>
        <w:rPr>
          <w:rFonts w:asciiTheme="majorHAnsi" w:hAnsiTheme="majorHAnsi" w:cstheme="majorHAnsi"/>
          <w:sz w:val="20"/>
          <w:szCs w:val="20"/>
          <w:lang w:val="en-US" w:eastAsia="en-US" w:bidi="he-IL"/>
        </w:rPr>
      </w:pPr>
    </w:p>
    <w:p w14:paraId="11EDFDFB" w14:textId="6EEB9D8D" w:rsidR="007B37D6" w:rsidRDefault="007B37D6" w:rsidP="00D602E3">
      <w:pPr>
        <w:rPr>
          <w:rFonts w:asciiTheme="majorHAnsi" w:hAnsiTheme="majorHAnsi" w:cstheme="majorHAnsi"/>
          <w:sz w:val="20"/>
          <w:szCs w:val="20"/>
          <w:lang w:val="en-US" w:eastAsia="en-US" w:bidi="he-IL"/>
        </w:rPr>
      </w:pPr>
      <w:r w:rsidRPr="007B37D6">
        <w:rPr>
          <w:rFonts w:asciiTheme="majorHAnsi" w:hAnsiTheme="majorHAnsi" w:cstheme="majorHAnsi"/>
          <w:noProof/>
          <w:sz w:val="20"/>
          <w:szCs w:val="20"/>
          <w:lang w:eastAsia="en-US" w:bidi="he-IL"/>
        </w:rPr>
        <w:drawing>
          <wp:inline distT="0" distB="0" distL="0" distR="0" wp14:anchorId="600813CC" wp14:editId="6FEC4F88">
            <wp:extent cx="6210935" cy="1309370"/>
            <wp:effectExtent l="0" t="0" r="0" b="0"/>
            <wp:docPr id="852647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47920" name=""/>
                    <pic:cNvPicPr/>
                  </pic:nvPicPr>
                  <pic:blipFill>
                    <a:blip r:embed="rId16"/>
                    <a:stretch>
                      <a:fillRect/>
                    </a:stretch>
                  </pic:blipFill>
                  <pic:spPr>
                    <a:xfrm>
                      <a:off x="0" y="0"/>
                      <a:ext cx="6210935" cy="1309370"/>
                    </a:xfrm>
                    <a:prstGeom prst="rect">
                      <a:avLst/>
                    </a:prstGeom>
                  </pic:spPr>
                </pic:pic>
              </a:graphicData>
            </a:graphic>
          </wp:inline>
        </w:drawing>
      </w:r>
    </w:p>
    <w:p w14:paraId="1AE47C0F" w14:textId="77777777" w:rsidR="00386F2B" w:rsidRDefault="00386F2B" w:rsidP="00D602E3">
      <w:pPr>
        <w:rPr>
          <w:rFonts w:asciiTheme="majorHAnsi" w:hAnsiTheme="majorHAnsi" w:cstheme="majorHAnsi"/>
          <w:sz w:val="20"/>
          <w:szCs w:val="20"/>
          <w:lang w:val="en-US" w:eastAsia="en-US" w:bidi="he-IL"/>
        </w:rPr>
      </w:pPr>
    </w:p>
    <w:p w14:paraId="027872A6" w14:textId="25A4F6D8" w:rsidR="000D59F0" w:rsidRPr="006B38AE" w:rsidRDefault="000D59F0" w:rsidP="006B38AE">
      <w:pPr>
        <w:rPr>
          <w:rFonts w:asciiTheme="majorHAnsi" w:hAnsiTheme="majorHAnsi" w:cstheme="majorHAnsi"/>
          <w:b/>
          <w:bCs/>
          <w:sz w:val="20"/>
          <w:szCs w:val="20"/>
          <w:lang w:val="en-US" w:eastAsia="en-US" w:bidi="he-IL"/>
        </w:rPr>
      </w:pPr>
      <w:r w:rsidRPr="006B38AE">
        <w:rPr>
          <w:rFonts w:asciiTheme="majorHAnsi" w:hAnsiTheme="majorHAnsi" w:cstheme="majorHAnsi"/>
          <w:b/>
          <w:bCs/>
          <w:sz w:val="20"/>
          <w:szCs w:val="20"/>
          <w:lang w:val="en-US" w:eastAsia="en-US" w:bidi="he-IL"/>
        </w:rPr>
        <w:t>CTG Project Team</w:t>
      </w:r>
    </w:p>
    <w:p w14:paraId="0A5BE54D" w14:textId="77777777" w:rsidR="000D59F0" w:rsidRDefault="000D59F0" w:rsidP="00D602E3">
      <w:pPr>
        <w:rPr>
          <w:rFonts w:asciiTheme="majorHAnsi" w:hAnsiTheme="majorHAnsi" w:cstheme="majorHAnsi"/>
          <w:sz w:val="20"/>
          <w:szCs w:val="20"/>
          <w:lang w:val="en-US" w:eastAsia="en-US" w:bidi="he-IL"/>
        </w:rPr>
      </w:pPr>
    </w:p>
    <w:p w14:paraId="10782337" w14:textId="779E746C" w:rsidR="000D59F0" w:rsidRDefault="000D59F0" w:rsidP="00D602E3">
      <w:pPr>
        <w:rPr>
          <w:rFonts w:asciiTheme="majorHAnsi" w:hAnsiTheme="majorHAnsi" w:cstheme="majorHAnsi"/>
          <w:sz w:val="20"/>
          <w:szCs w:val="20"/>
          <w:lang w:val="en-US" w:eastAsia="en-US" w:bidi="he-IL"/>
        </w:rPr>
      </w:pPr>
      <w:r>
        <w:rPr>
          <w:rFonts w:asciiTheme="majorHAnsi" w:hAnsiTheme="majorHAnsi" w:cstheme="majorHAnsi"/>
          <w:sz w:val="20"/>
          <w:szCs w:val="20"/>
          <w:lang w:val="en-US" w:eastAsia="en-US" w:bidi="he-IL"/>
        </w:rPr>
        <w:t>The CTG project team consists of the working group co-leads as well as the manager of the PSI Working Group for Nature.</w:t>
      </w:r>
    </w:p>
    <w:p w14:paraId="22926651" w14:textId="77777777" w:rsidR="006B38AE" w:rsidRDefault="006B38AE">
      <w:pPr>
        <w:spacing w:after="160" w:line="259" w:lineRule="auto"/>
        <w:rPr>
          <w:rFonts w:asciiTheme="majorHAnsi" w:hAnsiTheme="majorHAnsi" w:cstheme="majorHAnsi"/>
          <w:sz w:val="20"/>
          <w:szCs w:val="20"/>
          <w:lang w:val="en-US" w:eastAsia="en-US" w:bidi="he-IL"/>
        </w:rPr>
      </w:pPr>
    </w:p>
    <w:p w14:paraId="0A579B24" w14:textId="77777777" w:rsidR="006B38AE" w:rsidRPr="00910BEB" w:rsidRDefault="006B38AE" w:rsidP="006B38AE">
      <w:pPr>
        <w:rPr>
          <w:rFonts w:asciiTheme="majorHAnsi" w:hAnsiTheme="majorHAnsi" w:cstheme="majorHAnsi"/>
          <w:i/>
          <w:iCs/>
          <w:sz w:val="20"/>
          <w:szCs w:val="20"/>
          <w:lang w:val="en-US" w:eastAsia="en-US" w:bidi="he-IL"/>
        </w:rPr>
      </w:pPr>
      <w:r w:rsidRPr="00910BEB">
        <w:rPr>
          <w:rFonts w:asciiTheme="majorHAnsi" w:hAnsiTheme="majorHAnsi" w:cstheme="majorHAnsi"/>
          <w:i/>
          <w:iCs/>
          <w:sz w:val="20"/>
          <w:szCs w:val="20"/>
          <w:lang w:val="en-US" w:eastAsia="en-US" w:bidi="he-IL"/>
        </w:rPr>
        <w:t>For other project governance related questions – refer to Working Group Operating Manual.</w:t>
      </w:r>
    </w:p>
    <w:p w14:paraId="12CCD521" w14:textId="77777777" w:rsidR="006B38AE" w:rsidRDefault="006B38AE">
      <w:pPr>
        <w:spacing w:after="160" w:line="259" w:lineRule="auto"/>
        <w:rPr>
          <w:rFonts w:asciiTheme="majorHAnsi" w:hAnsiTheme="majorHAnsi" w:cstheme="majorHAnsi"/>
          <w:sz w:val="20"/>
          <w:szCs w:val="20"/>
          <w:lang w:val="en-US" w:eastAsia="en-US" w:bidi="he-IL"/>
        </w:rPr>
      </w:pPr>
    </w:p>
    <w:p w14:paraId="4A780BE3" w14:textId="47486B70" w:rsidR="00050B8E" w:rsidRDefault="00050B8E">
      <w:pPr>
        <w:spacing w:after="160" w:line="259" w:lineRule="auto"/>
        <w:rPr>
          <w:rFonts w:asciiTheme="majorHAnsi" w:hAnsiTheme="majorHAnsi" w:cstheme="majorHAnsi"/>
          <w:sz w:val="20"/>
          <w:szCs w:val="20"/>
          <w:lang w:val="en-US" w:eastAsia="en-US" w:bidi="he-IL"/>
        </w:rPr>
      </w:pPr>
      <w:r>
        <w:rPr>
          <w:rFonts w:asciiTheme="majorHAnsi" w:hAnsiTheme="majorHAnsi" w:cstheme="majorHAnsi"/>
          <w:sz w:val="20"/>
          <w:szCs w:val="20"/>
          <w:lang w:val="en-US" w:eastAsia="en-US" w:bidi="he-IL"/>
        </w:rPr>
        <w:br w:type="page"/>
      </w:r>
    </w:p>
    <w:p w14:paraId="7A6CE565" w14:textId="1F625B60" w:rsidR="00386F2B" w:rsidRPr="00386F2B" w:rsidRDefault="000D59F0" w:rsidP="00386F2B">
      <w:pPr>
        <w:pStyle w:val="Heading1"/>
        <w:rPr>
          <w:lang w:val="en-US"/>
        </w:rPr>
      </w:pPr>
      <w:bookmarkStart w:id="16" w:name="_Toc214867639"/>
      <w:r>
        <w:rPr>
          <w:lang w:val="en-US"/>
        </w:rPr>
        <w:lastRenderedPageBreak/>
        <w:t xml:space="preserve">Annex </w:t>
      </w:r>
      <w:r w:rsidR="006B38AE">
        <w:rPr>
          <w:lang w:val="en-US"/>
        </w:rPr>
        <w:t>– Methodology Document</w:t>
      </w:r>
      <w:bookmarkEnd w:id="16"/>
    </w:p>
    <w:p w14:paraId="3EA93D0A" w14:textId="77777777" w:rsidR="00386F2B" w:rsidRDefault="00386F2B" w:rsidP="00D602E3">
      <w:pPr>
        <w:rPr>
          <w:rFonts w:asciiTheme="majorHAnsi" w:hAnsiTheme="majorHAnsi" w:cstheme="majorHAnsi"/>
          <w:sz w:val="20"/>
          <w:szCs w:val="20"/>
          <w:lang w:val="en-US" w:eastAsia="en-US" w:bidi="he-IL"/>
        </w:rPr>
      </w:pPr>
    </w:p>
    <w:p w14:paraId="7D97914E" w14:textId="08F6B3A6" w:rsidR="00386F2B" w:rsidRPr="000D59F0" w:rsidRDefault="000D59F0" w:rsidP="000D59F0">
      <w:pPr>
        <w:pStyle w:val="Heading2"/>
        <w:rPr>
          <w:lang w:val="en-US"/>
        </w:rPr>
      </w:pPr>
      <w:bookmarkStart w:id="17" w:name="_Toc214867640"/>
      <w:r w:rsidRPr="000D59F0">
        <w:rPr>
          <w:lang w:val="en-US"/>
        </w:rPr>
        <w:t>Assumptions current state</w:t>
      </w:r>
      <w:bookmarkEnd w:id="17"/>
      <w:r w:rsidRPr="000D59F0">
        <w:rPr>
          <w:lang w:val="en-US"/>
        </w:rPr>
        <w:t xml:space="preserve"> </w:t>
      </w:r>
    </w:p>
    <w:p w14:paraId="459F0F44" w14:textId="77777777" w:rsidR="000D59F0" w:rsidRDefault="000D59F0" w:rsidP="00D602E3">
      <w:pPr>
        <w:rPr>
          <w:rFonts w:asciiTheme="majorHAnsi" w:hAnsiTheme="majorHAnsi" w:cstheme="majorHAnsi"/>
          <w:sz w:val="20"/>
          <w:szCs w:val="20"/>
          <w:lang w:val="en-US" w:eastAsia="en-US" w:bidi="he-IL"/>
        </w:rPr>
      </w:pPr>
    </w:p>
    <w:p w14:paraId="2418ABC5" w14:textId="77777777" w:rsidR="006B38AE" w:rsidRDefault="006B38AE" w:rsidP="006B38AE">
      <w:pPr>
        <w:rPr>
          <w:rFonts w:asciiTheme="majorHAnsi" w:hAnsiTheme="majorHAnsi" w:cstheme="majorHAnsi"/>
          <w:sz w:val="20"/>
          <w:szCs w:val="20"/>
          <w:lang w:val="en-US" w:eastAsia="en-US" w:bidi="he-IL"/>
        </w:rPr>
      </w:pPr>
      <w:r w:rsidRPr="000D59F0">
        <w:rPr>
          <w:rFonts w:asciiTheme="majorHAnsi" w:hAnsiTheme="majorHAnsi" w:cstheme="majorHAnsi"/>
          <w:sz w:val="20"/>
          <w:szCs w:val="20"/>
          <w:highlight w:val="yellow"/>
          <w:lang w:val="en-US" w:eastAsia="en-US" w:bidi="he-IL"/>
        </w:rPr>
        <w:t xml:space="preserve">[To be </w:t>
      </w:r>
      <w:r>
        <w:rPr>
          <w:rFonts w:asciiTheme="majorHAnsi" w:hAnsiTheme="majorHAnsi" w:cstheme="majorHAnsi"/>
          <w:sz w:val="20"/>
          <w:szCs w:val="20"/>
          <w:highlight w:val="yellow"/>
          <w:lang w:val="en-US" w:eastAsia="en-US" w:bidi="he-IL"/>
        </w:rPr>
        <w:t>drafted</w:t>
      </w:r>
      <w:r w:rsidRPr="000D59F0">
        <w:rPr>
          <w:rFonts w:asciiTheme="majorHAnsi" w:hAnsiTheme="majorHAnsi" w:cstheme="majorHAnsi"/>
          <w:sz w:val="20"/>
          <w:szCs w:val="20"/>
          <w:highlight w:val="yellow"/>
          <w:lang w:val="en-US" w:eastAsia="en-US" w:bidi="he-IL"/>
        </w:rPr>
        <w:t xml:space="preserve"> by CTG project team</w:t>
      </w:r>
      <w:r>
        <w:rPr>
          <w:rFonts w:asciiTheme="majorHAnsi" w:hAnsiTheme="majorHAnsi" w:cstheme="majorHAnsi"/>
          <w:sz w:val="20"/>
          <w:szCs w:val="20"/>
          <w:highlight w:val="yellow"/>
          <w:lang w:val="en-US" w:eastAsia="en-US" w:bidi="he-IL"/>
        </w:rPr>
        <w:t xml:space="preserve"> / Input Technical Partners</w:t>
      </w:r>
      <w:r w:rsidRPr="000D59F0">
        <w:rPr>
          <w:rFonts w:asciiTheme="majorHAnsi" w:hAnsiTheme="majorHAnsi" w:cstheme="majorHAnsi"/>
          <w:sz w:val="20"/>
          <w:szCs w:val="20"/>
          <w:highlight w:val="yellow"/>
          <w:lang w:val="en-US" w:eastAsia="en-US" w:bidi="he-IL"/>
        </w:rPr>
        <w:t>]</w:t>
      </w:r>
    </w:p>
    <w:p w14:paraId="35C8ECEB" w14:textId="77777777" w:rsidR="000D59F0" w:rsidRDefault="000D59F0" w:rsidP="00D602E3">
      <w:pPr>
        <w:rPr>
          <w:rFonts w:asciiTheme="majorHAnsi" w:hAnsiTheme="majorHAnsi" w:cstheme="majorHAnsi"/>
          <w:sz w:val="20"/>
          <w:szCs w:val="20"/>
          <w:lang w:val="en-US" w:eastAsia="en-US" w:bidi="he-IL"/>
        </w:rPr>
      </w:pPr>
    </w:p>
    <w:p w14:paraId="43688323" w14:textId="77777777" w:rsidR="000D59F0" w:rsidRDefault="000D59F0" w:rsidP="00D602E3">
      <w:pPr>
        <w:rPr>
          <w:rFonts w:asciiTheme="majorHAnsi" w:hAnsiTheme="majorHAnsi" w:cstheme="majorHAnsi"/>
          <w:sz w:val="20"/>
          <w:szCs w:val="20"/>
          <w:lang w:val="en-US" w:eastAsia="en-US" w:bidi="he-IL"/>
        </w:rPr>
      </w:pPr>
    </w:p>
    <w:p w14:paraId="4AA2DDEA" w14:textId="77777777" w:rsidR="00050B8E" w:rsidRDefault="00050B8E" w:rsidP="00D602E3">
      <w:pPr>
        <w:rPr>
          <w:rFonts w:asciiTheme="majorHAnsi" w:hAnsiTheme="majorHAnsi" w:cstheme="majorHAnsi"/>
          <w:sz w:val="20"/>
          <w:szCs w:val="20"/>
          <w:lang w:val="en-US" w:eastAsia="en-US" w:bidi="he-IL"/>
        </w:rPr>
      </w:pPr>
    </w:p>
    <w:p w14:paraId="7B93276C" w14:textId="29D702A2" w:rsidR="000D59F0" w:rsidRPr="000D59F0" w:rsidRDefault="000D59F0" w:rsidP="000D59F0">
      <w:pPr>
        <w:pStyle w:val="Heading2"/>
        <w:rPr>
          <w:lang w:val="en-US"/>
        </w:rPr>
      </w:pPr>
      <w:bookmarkStart w:id="18" w:name="_Toc214867641"/>
      <w:r w:rsidRPr="000D59F0">
        <w:rPr>
          <w:lang w:val="en-US"/>
        </w:rPr>
        <w:t>Details for Component 1</w:t>
      </w:r>
      <w:bookmarkEnd w:id="18"/>
    </w:p>
    <w:p w14:paraId="0E21B050" w14:textId="77777777" w:rsidR="000D59F0" w:rsidRDefault="000D59F0" w:rsidP="00D602E3">
      <w:pPr>
        <w:rPr>
          <w:rFonts w:asciiTheme="majorHAnsi" w:hAnsiTheme="majorHAnsi" w:cstheme="majorHAnsi"/>
          <w:sz w:val="20"/>
          <w:szCs w:val="20"/>
          <w:lang w:val="en-US" w:eastAsia="en-US" w:bidi="he-IL"/>
        </w:rPr>
      </w:pPr>
    </w:p>
    <w:p w14:paraId="660F6F1F" w14:textId="602C696E" w:rsidR="000D59F0" w:rsidRDefault="000D59F0" w:rsidP="00D602E3">
      <w:pPr>
        <w:rPr>
          <w:rFonts w:asciiTheme="majorHAnsi" w:hAnsiTheme="majorHAnsi" w:cstheme="majorHAnsi"/>
          <w:sz w:val="20"/>
          <w:szCs w:val="20"/>
          <w:lang w:val="en-US" w:eastAsia="en-US" w:bidi="he-IL"/>
        </w:rPr>
      </w:pPr>
      <w:r w:rsidRPr="000D59F0">
        <w:rPr>
          <w:rFonts w:asciiTheme="majorHAnsi" w:hAnsiTheme="majorHAnsi" w:cstheme="majorHAnsi"/>
          <w:sz w:val="20"/>
          <w:szCs w:val="20"/>
          <w:highlight w:val="yellow"/>
          <w:lang w:val="en-US" w:eastAsia="en-US" w:bidi="he-IL"/>
        </w:rPr>
        <w:t xml:space="preserve">[To be </w:t>
      </w:r>
      <w:r>
        <w:rPr>
          <w:rFonts w:asciiTheme="majorHAnsi" w:hAnsiTheme="majorHAnsi" w:cstheme="majorHAnsi"/>
          <w:sz w:val="20"/>
          <w:szCs w:val="20"/>
          <w:highlight w:val="yellow"/>
          <w:lang w:val="en-US" w:eastAsia="en-US" w:bidi="he-IL"/>
        </w:rPr>
        <w:t>drafted</w:t>
      </w:r>
      <w:r w:rsidRPr="000D59F0">
        <w:rPr>
          <w:rFonts w:asciiTheme="majorHAnsi" w:hAnsiTheme="majorHAnsi" w:cstheme="majorHAnsi"/>
          <w:sz w:val="20"/>
          <w:szCs w:val="20"/>
          <w:highlight w:val="yellow"/>
          <w:lang w:val="en-US" w:eastAsia="en-US" w:bidi="he-IL"/>
        </w:rPr>
        <w:t xml:space="preserve"> by CTG project team</w:t>
      </w:r>
      <w:r>
        <w:rPr>
          <w:rFonts w:asciiTheme="majorHAnsi" w:hAnsiTheme="majorHAnsi" w:cstheme="majorHAnsi"/>
          <w:sz w:val="20"/>
          <w:szCs w:val="20"/>
          <w:highlight w:val="yellow"/>
          <w:lang w:val="en-US" w:eastAsia="en-US" w:bidi="he-IL"/>
        </w:rPr>
        <w:t xml:space="preserve"> / Input Technical Partners</w:t>
      </w:r>
      <w:r w:rsidRPr="000D59F0">
        <w:rPr>
          <w:rFonts w:asciiTheme="majorHAnsi" w:hAnsiTheme="majorHAnsi" w:cstheme="majorHAnsi"/>
          <w:sz w:val="20"/>
          <w:szCs w:val="20"/>
          <w:highlight w:val="yellow"/>
          <w:lang w:val="en-US" w:eastAsia="en-US" w:bidi="he-IL"/>
        </w:rPr>
        <w:t>]</w:t>
      </w:r>
    </w:p>
    <w:p w14:paraId="5FD9F08B" w14:textId="77777777" w:rsidR="000D59F0" w:rsidRDefault="000D59F0" w:rsidP="00D602E3">
      <w:pPr>
        <w:rPr>
          <w:rFonts w:asciiTheme="majorHAnsi" w:hAnsiTheme="majorHAnsi" w:cstheme="majorHAnsi"/>
          <w:sz w:val="20"/>
          <w:szCs w:val="20"/>
          <w:lang w:val="en-US" w:eastAsia="en-US" w:bidi="he-IL"/>
        </w:rPr>
      </w:pPr>
    </w:p>
    <w:p w14:paraId="3051A594" w14:textId="77777777" w:rsidR="000D59F0" w:rsidRDefault="000D59F0" w:rsidP="00D602E3">
      <w:pPr>
        <w:rPr>
          <w:rFonts w:asciiTheme="majorHAnsi" w:hAnsiTheme="majorHAnsi" w:cstheme="majorHAnsi"/>
          <w:sz w:val="20"/>
          <w:szCs w:val="20"/>
          <w:lang w:val="en-US" w:eastAsia="en-US" w:bidi="he-IL"/>
        </w:rPr>
      </w:pPr>
    </w:p>
    <w:p w14:paraId="62179873" w14:textId="77777777" w:rsidR="000D59F0" w:rsidRDefault="000D59F0" w:rsidP="00D602E3">
      <w:pPr>
        <w:rPr>
          <w:rFonts w:asciiTheme="majorHAnsi" w:hAnsiTheme="majorHAnsi" w:cstheme="majorHAnsi"/>
          <w:sz w:val="20"/>
          <w:szCs w:val="20"/>
          <w:lang w:val="en-US" w:eastAsia="en-US" w:bidi="he-IL"/>
        </w:rPr>
      </w:pPr>
    </w:p>
    <w:p w14:paraId="08663CCC" w14:textId="3CC17821" w:rsidR="000D59F0" w:rsidRPr="000D59F0" w:rsidRDefault="000D59F0" w:rsidP="000D59F0">
      <w:pPr>
        <w:pStyle w:val="Heading2"/>
        <w:rPr>
          <w:lang w:val="en-US"/>
        </w:rPr>
      </w:pPr>
      <w:bookmarkStart w:id="19" w:name="_Toc214867642"/>
      <w:r w:rsidRPr="000D59F0">
        <w:rPr>
          <w:lang w:val="en-US"/>
        </w:rPr>
        <w:t xml:space="preserve">Details for Component </w:t>
      </w:r>
      <w:r>
        <w:rPr>
          <w:lang w:val="en-US"/>
        </w:rPr>
        <w:t>2</w:t>
      </w:r>
      <w:bookmarkEnd w:id="19"/>
    </w:p>
    <w:p w14:paraId="487D8390" w14:textId="77777777" w:rsidR="000D59F0" w:rsidRDefault="000D59F0" w:rsidP="00D602E3">
      <w:pPr>
        <w:rPr>
          <w:rFonts w:asciiTheme="majorHAnsi" w:hAnsiTheme="majorHAnsi" w:cstheme="majorHAnsi"/>
          <w:sz w:val="20"/>
          <w:szCs w:val="20"/>
          <w:lang w:val="en-US" w:eastAsia="en-US" w:bidi="he-IL"/>
        </w:rPr>
      </w:pPr>
    </w:p>
    <w:p w14:paraId="74252D03" w14:textId="77777777" w:rsidR="000D59F0" w:rsidRDefault="000D59F0" w:rsidP="000D59F0">
      <w:pPr>
        <w:rPr>
          <w:rFonts w:asciiTheme="majorHAnsi" w:hAnsiTheme="majorHAnsi" w:cstheme="majorHAnsi"/>
          <w:sz w:val="20"/>
          <w:szCs w:val="20"/>
          <w:lang w:val="en-US" w:eastAsia="en-US" w:bidi="he-IL"/>
        </w:rPr>
      </w:pPr>
      <w:r w:rsidRPr="000D59F0">
        <w:rPr>
          <w:rFonts w:asciiTheme="majorHAnsi" w:hAnsiTheme="majorHAnsi" w:cstheme="majorHAnsi"/>
          <w:sz w:val="20"/>
          <w:szCs w:val="20"/>
          <w:highlight w:val="yellow"/>
          <w:lang w:val="en-US" w:eastAsia="en-US" w:bidi="he-IL"/>
        </w:rPr>
        <w:t xml:space="preserve">[To be </w:t>
      </w:r>
      <w:r>
        <w:rPr>
          <w:rFonts w:asciiTheme="majorHAnsi" w:hAnsiTheme="majorHAnsi" w:cstheme="majorHAnsi"/>
          <w:sz w:val="20"/>
          <w:szCs w:val="20"/>
          <w:highlight w:val="yellow"/>
          <w:lang w:val="en-US" w:eastAsia="en-US" w:bidi="he-IL"/>
        </w:rPr>
        <w:t>drafted</w:t>
      </w:r>
      <w:r w:rsidRPr="000D59F0">
        <w:rPr>
          <w:rFonts w:asciiTheme="majorHAnsi" w:hAnsiTheme="majorHAnsi" w:cstheme="majorHAnsi"/>
          <w:sz w:val="20"/>
          <w:szCs w:val="20"/>
          <w:highlight w:val="yellow"/>
          <w:lang w:val="en-US" w:eastAsia="en-US" w:bidi="he-IL"/>
        </w:rPr>
        <w:t xml:space="preserve"> by CTG project team</w:t>
      </w:r>
      <w:r>
        <w:rPr>
          <w:rFonts w:asciiTheme="majorHAnsi" w:hAnsiTheme="majorHAnsi" w:cstheme="majorHAnsi"/>
          <w:sz w:val="20"/>
          <w:szCs w:val="20"/>
          <w:highlight w:val="yellow"/>
          <w:lang w:val="en-US" w:eastAsia="en-US" w:bidi="he-IL"/>
        </w:rPr>
        <w:t xml:space="preserve"> / Input Technical Partners</w:t>
      </w:r>
      <w:r w:rsidRPr="000D59F0">
        <w:rPr>
          <w:rFonts w:asciiTheme="majorHAnsi" w:hAnsiTheme="majorHAnsi" w:cstheme="majorHAnsi"/>
          <w:sz w:val="20"/>
          <w:szCs w:val="20"/>
          <w:highlight w:val="yellow"/>
          <w:lang w:val="en-US" w:eastAsia="en-US" w:bidi="he-IL"/>
        </w:rPr>
        <w:t>]</w:t>
      </w:r>
    </w:p>
    <w:p w14:paraId="66536202" w14:textId="77777777" w:rsidR="000D59F0" w:rsidRDefault="000D59F0" w:rsidP="00D602E3">
      <w:pPr>
        <w:rPr>
          <w:rFonts w:asciiTheme="majorHAnsi" w:hAnsiTheme="majorHAnsi" w:cstheme="majorHAnsi"/>
          <w:sz w:val="20"/>
          <w:szCs w:val="20"/>
          <w:lang w:val="en-US" w:eastAsia="en-US" w:bidi="he-IL"/>
        </w:rPr>
      </w:pPr>
    </w:p>
    <w:p w14:paraId="3AAE5406" w14:textId="77777777" w:rsidR="00386F2B" w:rsidRDefault="00386F2B" w:rsidP="00D602E3">
      <w:pPr>
        <w:rPr>
          <w:rFonts w:asciiTheme="majorHAnsi" w:hAnsiTheme="majorHAnsi" w:cstheme="majorHAnsi"/>
          <w:sz w:val="20"/>
          <w:szCs w:val="20"/>
          <w:lang w:val="en-US" w:eastAsia="en-US" w:bidi="he-IL"/>
        </w:rPr>
      </w:pPr>
    </w:p>
    <w:p w14:paraId="496A74C8" w14:textId="77777777" w:rsidR="000D59F0" w:rsidRDefault="000D59F0" w:rsidP="00D602E3">
      <w:pPr>
        <w:rPr>
          <w:rFonts w:asciiTheme="majorHAnsi" w:hAnsiTheme="majorHAnsi" w:cstheme="majorHAnsi"/>
          <w:sz w:val="20"/>
          <w:szCs w:val="20"/>
          <w:lang w:val="en-US" w:eastAsia="en-US" w:bidi="he-IL"/>
        </w:rPr>
      </w:pPr>
    </w:p>
    <w:p w14:paraId="27024527" w14:textId="7F677C1F" w:rsidR="000D59F0" w:rsidRDefault="000D59F0" w:rsidP="000D59F0">
      <w:pPr>
        <w:pStyle w:val="Heading2"/>
        <w:rPr>
          <w:lang w:val="en-US"/>
        </w:rPr>
      </w:pPr>
      <w:bookmarkStart w:id="20" w:name="_Toc214867643"/>
      <w:r w:rsidRPr="000D59F0">
        <w:rPr>
          <w:lang w:val="en-US"/>
        </w:rPr>
        <w:t xml:space="preserve">Details for Component </w:t>
      </w:r>
      <w:r>
        <w:rPr>
          <w:lang w:val="en-US"/>
        </w:rPr>
        <w:t>3</w:t>
      </w:r>
      <w:bookmarkEnd w:id="20"/>
    </w:p>
    <w:p w14:paraId="7F5F502B" w14:textId="77777777" w:rsidR="000D59F0" w:rsidRPr="000D59F0" w:rsidRDefault="000D59F0" w:rsidP="000D59F0">
      <w:pPr>
        <w:rPr>
          <w:rFonts w:asciiTheme="majorHAnsi" w:hAnsiTheme="majorHAnsi" w:cstheme="majorHAnsi"/>
          <w:sz w:val="20"/>
          <w:szCs w:val="20"/>
          <w:lang w:val="en-US" w:eastAsia="en-US" w:bidi="he-IL"/>
        </w:rPr>
      </w:pPr>
    </w:p>
    <w:p w14:paraId="74A8793B" w14:textId="77777777" w:rsidR="000D59F0" w:rsidRDefault="000D59F0" w:rsidP="000D59F0">
      <w:pPr>
        <w:rPr>
          <w:rFonts w:asciiTheme="majorHAnsi" w:hAnsiTheme="majorHAnsi" w:cstheme="majorHAnsi"/>
          <w:sz w:val="20"/>
          <w:szCs w:val="20"/>
          <w:lang w:val="en-US" w:eastAsia="en-US" w:bidi="he-IL"/>
        </w:rPr>
      </w:pPr>
      <w:r w:rsidRPr="000D59F0">
        <w:rPr>
          <w:rFonts w:asciiTheme="majorHAnsi" w:hAnsiTheme="majorHAnsi" w:cstheme="majorHAnsi"/>
          <w:sz w:val="20"/>
          <w:szCs w:val="20"/>
          <w:highlight w:val="yellow"/>
          <w:lang w:val="en-US" w:eastAsia="en-US" w:bidi="he-IL"/>
        </w:rPr>
        <w:t xml:space="preserve">[To be </w:t>
      </w:r>
      <w:r>
        <w:rPr>
          <w:rFonts w:asciiTheme="majorHAnsi" w:hAnsiTheme="majorHAnsi" w:cstheme="majorHAnsi"/>
          <w:sz w:val="20"/>
          <w:szCs w:val="20"/>
          <w:highlight w:val="yellow"/>
          <w:lang w:val="en-US" w:eastAsia="en-US" w:bidi="he-IL"/>
        </w:rPr>
        <w:t>drafted</w:t>
      </w:r>
      <w:r w:rsidRPr="000D59F0">
        <w:rPr>
          <w:rFonts w:asciiTheme="majorHAnsi" w:hAnsiTheme="majorHAnsi" w:cstheme="majorHAnsi"/>
          <w:sz w:val="20"/>
          <w:szCs w:val="20"/>
          <w:highlight w:val="yellow"/>
          <w:lang w:val="en-US" w:eastAsia="en-US" w:bidi="he-IL"/>
        </w:rPr>
        <w:t xml:space="preserve"> by CTG project team</w:t>
      </w:r>
      <w:r>
        <w:rPr>
          <w:rFonts w:asciiTheme="majorHAnsi" w:hAnsiTheme="majorHAnsi" w:cstheme="majorHAnsi"/>
          <w:sz w:val="20"/>
          <w:szCs w:val="20"/>
          <w:highlight w:val="yellow"/>
          <w:lang w:val="en-US" w:eastAsia="en-US" w:bidi="he-IL"/>
        </w:rPr>
        <w:t xml:space="preserve"> / Input Technical Partners</w:t>
      </w:r>
      <w:r w:rsidRPr="000D59F0">
        <w:rPr>
          <w:rFonts w:asciiTheme="majorHAnsi" w:hAnsiTheme="majorHAnsi" w:cstheme="majorHAnsi"/>
          <w:sz w:val="20"/>
          <w:szCs w:val="20"/>
          <w:highlight w:val="yellow"/>
          <w:lang w:val="en-US" w:eastAsia="en-US" w:bidi="he-IL"/>
        </w:rPr>
        <w:t>]</w:t>
      </w:r>
    </w:p>
    <w:p w14:paraId="6189C89C" w14:textId="77777777" w:rsidR="000D59F0" w:rsidRDefault="000D59F0" w:rsidP="000D59F0">
      <w:pPr>
        <w:rPr>
          <w:lang w:val="en-US" w:eastAsia="en-US" w:bidi="he-IL"/>
        </w:rPr>
      </w:pPr>
    </w:p>
    <w:p w14:paraId="21207154" w14:textId="77777777" w:rsidR="000D59F0" w:rsidRDefault="000D59F0" w:rsidP="000D59F0">
      <w:pPr>
        <w:rPr>
          <w:lang w:val="en-US" w:eastAsia="en-US" w:bidi="he-IL"/>
        </w:rPr>
      </w:pPr>
    </w:p>
    <w:p w14:paraId="1FF316B4" w14:textId="77777777" w:rsidR="000D59F0" w:rsidRDefault="000D59F0" w:rsidP="000D59F0">
      <w:pPr>
        <w:rPr>
          <w:lang w:val="en-US" w:eastAsia="en-US" w:bidi="he-IL"/>
        </w:rPr>
      </w:pPr>
    </w:p>
    <w:p w14:paraId="4D4BAE2D" w14:textId="27C6C206" w:rsidR="000D59F0" w:rsidRPr="000D59F0" w:rsidRDefault="000D59F0" w:rsidP="000D59F0">
      <w:pPr>
        <w:pStyle w:val="Heading2"/>
        <w:rPr>
          <w:lang w:val="en-US"/>
        </w:rPr>
      </w:pPr>
      <w:bookmarkStart w:id="21" w:name="_Toc214867644"/>
      <w:r w:rsidRPr="000D59F0">
        <w:rPr>
          <w:lang w:val="en-US"/>
        </w:rPr>
        <w:t xml:space="preserve">Details for Component </w:t>
      </w:r>
      <w:r>
        <w:rPr>
          <w:lang w:val="en-US"/>
        </w:rPr>
        <w:t>4</w:t>
      </w:r>
      <w:bookmarkEnd w:id="21"/>
    </w:p>
    <w:p w14:paraId="617E81F0" w14:textId="77777777" w:rsidR="000D59F0" w:rsidRPr="000D59F0" w:rsidRDefault="000D59F0" w:rsidP="000D59F0">
      <w:pPr>
        <w:rPr>
          <w:rFonts w:asciiTheme="majorHAnsi" w:hAnsiTheme="majorHAnsi" w:cstheme="majorHAnsi"/>
          <w:sz w:val="20"/>
          <w:szCs w:val="20"/>
          <w:lang w:val="en-US" w:eastAsia="en-US" w:bidi="he-IL"/>
        </w:rPr>
      </w:pPr>
    </w:p>
    <w:p w14:paraId="7E3FC4D7" w14:textId="77777777" w:rsidR="000D59F0" w:rsidRDefault="000D59F0" w:rsidP="000D59F0">
      <w:pPr>
        <w:rPr>
          <w:rFonts w:asciiTheme="majorHAnsi" w:hAnsiTheme="majorHAnsi" w:cstheme="majorHAnsi"/>
          <w:sz w:val="20"/>
          <w:szCs w:val="20"/>
          <w:lang w:val="en-US" w:eastAsia="en-US" w:bidi="he-IL"/>
        </w:rPr>
      </w:pPr>
      <w:r w:rsidRPr="000D59F0">
        <w:rPr>
          <w:rFonts w:asciiTheme="majorHAnsi" w:hAnsiTheme="majorHAnsi" w:cstheme="majorHAnsi"/>
          <w:sz w:val="20"/>
          <w:szCs w:val="20"/>
          <w:highlight w:val="yellow"/>
          <w:lang w:val="en-US" w:eastAsia="en-US" w:bidi="he-IL"/>
        </w:rPr>
        <w:t xml:space="preserve">[To be </w:t>
      </w:r>
      <w:r>
        <w:rPr>
          <w:rFonts w:asciiTheme="majorHAnsi" w:hAnsiTheme="majorHAnsi" w:cstheme="majorHAnsi"/>
          <w:sz w:val="20"/>
          <w:szCs w:val="20"/>
          <w:highlight w:val="yellow"/>
          <w:lang w:val="en-US" w:eastAsia="en-US" w:bidi="he-IL"/>
        </w:rPr>
        <w:t>drafted</w:t>
      </w:r>
      <w:r w:rsidRPr="000D59F0">
        <w:rPr>
          <w:rFonts w:asciiTheme="majorHAnsi" w:hAnsiTheme="majorHAnsi" w:cstheme="majorHAnsi"/>
          <w:sz w:val="20"/>
          <w:szCs w:val="20"/>
          <w:highlight w:val="yellow"/>
          <w:lang w:val="en-US" w:eastAsia="en-US" w:bidi="he-IL"/>
        </w:rPr>
        <w:t xml:space="preserve"> by CTG project team</w:t>
      </w:r>
      <w:r>
        <w:rPr>
          <w:rFonts w:asciiTheme="majorHAnsi" w:hAnsiTheme="majorHAnsi" w:cstheme="majorHAnsi"/>
          <w:sz w:val="20"/>
          <w:szCs w:val="20"/>
          <w:highlight w:val="yellow"/>
          <w:lang w:val="en-US" w:eastAsia="en-US" w:bidi="he-IL"/>
        </w:rPr>
        <w:t xml:space="preserve"> / Input Technical Partners</w:t>
      </w:r>
      <w:r w:rsidRPr="000D59F0">
        <w:rPr>
          <w:rFonts w:asciiTheme="majorHAnsi" w:hAnsiTheme="majorHAnsi" w:cstheme="majorHAnsi"/>
          <w:sz w:val="20"/>
          <w:szCs w:val="20"/>
          <w:highlight w:val="yellow"/>
          <w:lang w:val="en-US" w:eastAsia="en-US" w:bidi="he-IL"/>
        </w:rPr>
        <w:t>]</w:t>
      </w:r>
    </w:p>
    <w:p w14:paraId="4CDA393B" w14:textId="77777777" w:rsidR="00386F2B" w:rsidRDefault="00386F2B" w:rsidP="00D602E3">
      <w:pPr>
        <w:rPr>
          <w:rFonts w:asciiTheme="majorHAnsi" w:hAnsiTheme="majorHAnsi" w:cstheme="majorHAnsi"/>
          <w:sz w:val="20"/>
          <w:szCs w:val="20"/>
          <w:lang w:val="en-US" w:eastAsia="en-US" w:bidi="he-IL"/>
        </w:rPr>
      </w:pPr>
    </w:p>
    <w:p w14:paraId="20056B2C" w14:textId="77777777" w:rsidR="000D59F0" w:rsidRPr="008F2580" w:rsidRDefault="000D59F0" w:rsidP="00D602E3">
      <w:pPr>
        <w:rPr>
          <w:rFonts w:asciiTheme="majorHAnsi" w:hAnsiTheme="majorHAnsi" w:cstheme="majorHAnsi"/>
          <w:sz w:val="20"/>
          <w:szCs w:val="20"/>
          <w:lang w:val="en-US" w:eastAsia="en-US" w:bidi="he-IL"/>
        </w:rPr>
      </w:pPr>
    </w:p>
    <w:sectPr w:rsidR="000D59F0" w:rsidRPr="008F2580" w:rsidSect="00F061B9">
      <w:headerReference w:type="even" r:id="rId17"/>
      <w:headerReference w:type="default" r:id="rId18"/>
      <w:footerReference w:type="default" r:id="rId19"/>
      <w:headerReference w:type="first" r:id="rId20"/>
      <w:pgSz w:w="12240" w:h="15840"/>
      <w:pgMar w:top="1440" w:right="1183" w:bottom="1276" w:left="1276"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42D95" w14:textId="77777777" w:rsidR="00D417A3" w:rsidRDefault="00D417A3">
      <w:r>
        <w:separator/>
      </w:r>
    </w:p>
  </w:endnote>
  <w:endnote w:type="continuationSeparator" w:id="0">
    <w:p w14:paraId="4FB40D33" w14:textId="77777777" w:rsidR="00D417A3" w:rsidRDefault="00D417A3">
      <w:r>
        <w:continuationSeparator/>
      </w:r>
    </w:p>
  </w:endnote>
  <w:endnote w:type="continuationNotice" w:id="1">
    <w:p w14:paraId="33A4C6E3" w14:textId="77777777" w:rsidR="00D417A3" w:rsidRDefault="00D417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 w:name="EYInterstate Light">
    <w:altName w:val="Franklin Gothic Medium Cond"/>
    <w:panose1 w:val="020B0604020202020204"/>
    <w:charset w:val="00"/>
    <w:family w:val="auto"/>
    <w:pitch w:val="variable"/>
    <w:sig w:usb0="A00002AF" w:usb1="5000206A"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Inter Light">
    <w:altName w:val="Calibri"/>
    <w:panose1 w:val="020B06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195108"/>
      <w:docPartObj>
        <w:docPartGallery w:val="Page Numbers (Bottom of Page)"/>
        <w:docPartUnique/>
      </w:docPartObj>
    </w:sdtPr>
    <w:sdtEndPr>
      <w:rPr>
        <w:noProof/>
      </w:rPr>
    </w:sdtEndPr>
    <w:sdtContent>
      <w:p w14:paraId="7D70D6F2" w14:textId="77777777" w:rsidR="000B5620" w:rsidRDefault="000B5620" w:rsidP="00C14679">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72D60" w14:textId="77777777" w:rsidR="00D417A3" w:rsidRDefault="00D417A3">
      <w:r>
        <w:separator/>
      </w:r>
    </w:p>
  </w:footnote>
  <w:footnote w:type="continuationSeparator" w:id="0">
    <w:p w14:paraId="60B718D1" w14:textId="77777777" w:rsidR="00D417A3" w:rsidRDefault="00D417A3">
      <w:r>
        <w:continuationSeparator/>
      </w:r>
    </w:p>
  </w:footnote>
  <w:footnote w:type="continuationNotice" w:id="1">
    <w:p w14:paraId="0D650F98" w14:textId="77777777" w:rsidR="00D417A3" w:rsidRDefault="00D417A3"/>
  </w:footnote>
  <w:footnote w:id="2">
    <w:p w14:paraId="6C053D85" w14:textId="6079BDEF" w:rsidR="00792D73" w:rsidRPr="00DC36C4" w:rsidRDefault="00792D73">
      <w:pPr>
        <w:pStyle w:val="FootnoteText"/>
        <w:rPr>
          <w:rFonts w:asciiTheme="majorHAnsi" w:hAnsiTheme="majorHAnsi" w:cstheme="majorHAnsi"/>
          <w:sz w:val="16"/>
          <w:szCs w:val="16"/>
          <w:lang w:val="en-AU"/>
        </w:rPr>
      </w:pPr>
      <w:r w:rsidRPr="00DC36C4">
        <w:rPr>
          <w:rStyle w:val="FootnoteReference"/>
          <w:rFonts w:asciiTheme="majorHAnsi" w:hAnsiTheme="majorHAnsi" w:cstheme="majorHAnsi"/>
          <w:sz w:val="16"/>
          <w:szCs w:val="16"/>
        </w:rPr>
        <w:footnoteRef/>
      </w:r>
      <w:r w:rsidRPr="00DC36C4">
        <w:rPr>
          <w:rFonts w:asciiTheme="majorHAnsi" w:hAnsiTheme="majorHAnsi" w:cstheme="majorHAnsi"/>
          <w:sz w:val="16"/>
          <w:szCs w:val="16"/>
        </w:rPr>
        <w:t xml:space="preserve"> </w:t>
      </w:r>
      <w:r w:rsidR="009F51D3">
        <w:rPr>
          <w:rFonts w:asciiTheme="majorHAnsi" w:hAnsiTheme="majorHAnsi" w:cstheme="majorHAnsi"/>
          <w:sz w:val="16"/>
          <w:szCs w:val="16"/>
        </w:rPr>
        <w:t xml:space="preserve">Swiss Re Institute (2025). </w:t>
      </w:r>
      <w:r w:rsidR="009F51D3" w:rsidRPr="009F51D3">
        <w:rPr>
          <w:rFonts w:asciiTheme="majorHAnsi" w:hAnsiTheme="majorHAnsi" w:cstheme="majorHAnsi"/>
          <w:sz w:val="16"/>
          <w:szCs w:val="16"/>
        </w:rPr>
        <w:t>sigma 1/2025</w:t>
      </w:r>
      <w:r w:rsidR="009F51D3">
        <w:rPr>
          <w:rFonts w:asciiTheme="majorHAnsi" w:hAnsiTheme="majorHAnsi" w:cstheme="majorHAnsi"/>
          <w:sz w:val="16"/>
          <w:szCs w:val="16"/>
        </w:rPr>
        <w:t xml:space="preserve">: </w:t>
      </w:r>
      <w:hyperlink r:id="rId1" w:history="1">
        <w:r w:rsidR="009F51D3" w:rsidRPr="009F51D3">
          <w:rPr>
            <w:rStyle w:val="Hyperlink"/>
            <w:rFonts w:asciiTheme="majorHAnsi" w:hAnsiTheme="majorHAnsi" w:cstheme="majorHAnsi"/>
            <w:sz w:val="16"/>
            <w:szCs w:val="16"/>
          </w:rPr>
          <w:t>swissre.c</w:t>
        </w:r>
        <w:r w:rsidR="009F51D3" w:rsidRPr="009F51D3">
          <w:rPr>
            <w:rStyle w:val="Hyperlink"/>
            <w:rFonts w:asciiTheme="majorHAnsi" w:hAnsiTheme="majorHAnsi" w:cstheme="majorHAnsi"/>
            <w:sz w:val="16"/>
            <w:szCs w:val="16"/>
          </w:rPr>
          <w:t>o</w:t>
        </w:r>
        <w:r w:rsidR="009F51D3" w:rsidRPr="009F51D3">
          <w:rPr>
            <w:rStyle w:val="Hyperlink"/>
            <w:rFonts w:asciiTheme="majorHAnsi" w:hAnsiTheme="majorHAnsi" w:cstheme="majorHAnsi"/>
            <w:sz w:val="16"/>
            <w:szCs w:val="16"/>
          </w:rPr>
          <w:t>m</w:t>
        </w:r>
      </w:hyperlink>
    </w:p>
  </w:footnote>
  <w:footnote w:id="3">
    <w:p w14:paraId="5926D7EC" w14:textId="731212EB" w:rsidR="00792D73" w:rsidRPr="00DC36C4" w:rsidRDefault="00792D73">
      <w:pPr>
        <w:pStyle w:val="FootnoteText"/>
        <w:rPr>
          <w:rFonts w:asciiTheme="majorHAnsi" w:hAnsiTheme="majorHAnsi" w:cstheme="majorHAnsi"/>
          <w:sz w:val="16"/>
          <w:szCs w:val="16"/>
          <w:lang w:val="en-AU"/>
        </w:rPr>
      </w:pPr>
      <w:r w:rsidRPr="00DC36C4">
        <w:rPr>
          <w:rStyle w:val="FootnoteReference"/>
          <w:rFonts w:asciiTheme="majorHAnsi" w:hAnsiTheme="majorHAnsi" w:cstheme="majorHAnsi"/>
          <w:sz w:val="16"/>
          <w:szCs w:val="16"/>
        </w:rPr>
        <w:footnoteRef/>
      </w:r>
      <w:r w:rsidRPr="00DC36C4">
        <w:rPr>
          <w:rFonts w:asciiTheme="majorHAnsi" w:hAnsiTheme="majorHAnsi" w:cstheme="majorHAnsi"/>
          <w:sz w:val="16"/>
          <w:szCs w:val="16"/>
        </w:rPr>
        <w:t xml:space="preserve"> </w:t>
      </w:r>
      <w:r w:rsidR="009F51D3">
        <w:rPr>
          <w:rFonts w:asciiTheme="majorHAnsi" w:hAnsiTheme="majorHAnsi" w:cstheme="majorHAnsi"/>
          <w:sz w:val="16"/>
          <w:szCs w:val="16"/>
        </w:rPr>
        <w:t xml:space="preserve">PWC (2023). Managing nature risks: From understanding to action: </w:t>
      </w:r>
      <w:hyperlink r:id="rId2" w:history="1">
        <w:r w:rsidR="009F51D3" w:rsidRPr="009F51D3">
          <w:rPr>
            <w:rStyle w:val="Hyperlink"/>
            <w:rFonts w:asciiTheme="majorHAnsi" w:hAnsiTheme="majorHAnsi" w:cstheme="majorHAnsi"/>
            <w:sz w:val="16"/>
            <w:szCs w:val="16"/>
          </w:rPr>
          <w:t>pwc.com</w:t>
        </w:r>
      </w:hyperlink>
    </w:p>
  </w:footnote>
  <w:footnote w:id="4">
    <w:p w14:paraId="53D2F8DE" w14:textId="73404C4A" w:rsidR="00792D73" w:rsidRPr="00B465D2" w:rsidRDefault="00792D73" w:rsidP="00B465D2">
      <w:pPr>
        <w:pStyle w:val="FootnoteText"/>
        <w:rPr>
          <w:rFonts w:asciiTheme="majorHAnsi" w:hAnsiTheme="majorHAnsi" w:cstheme="majorHAnsi"/>
          <w:sz w:val="16"/>
          <w:szCs w:val="16"/>
        </w:rPr>
      </w:pPr>
      <w:r w:rsidRPr="00DC36C4">
        <w:rPr>
          <w:rStyle w:val="FootnoteReference"/>
          <w:rFonts w:asciiTheme="majorHAnsi" w:hAnsiTheme="majorHAnsi" w:cstheme="majorHAnsi"/>
          <w:sz w:val="16"/>
          <w:szCs w:val="16"/>
        </w:rPr>
        <w:footnoteRef/>
      </w:r>
      <w:r w:rsidRPr="00DC36C4">
        <w:rPr>
          <w:rFonts w:asciiTheme="majorHAnsi" w:hAnsiTheme="majorHAnsi" w:cstheme="majorHAnsi"/>
          <w:sz w:val="16"/>
          <w:szCs w:val="16"/>
        </w:rPr>
        <w:t xml:space="preserve"> </w:t>
      </w:r>
      <w:r w:rsidR="00B465D2" w:rsidRPr="00B465D2">
        <w:rPr>
          <w:rFonts w:asciiTheme="majorHAnsi" w:hAnsiTheme="majorHAnsi" w:cstheme="majorHAnsi"/>
          <w:sz w:val="16"/>
          <w:szCs w:val="16"/>
        </w:rPr>
        <w:t xml:space="preserve">Ranger, N., Alvarez J., Freeman, A., Harwood, T., </w:t>
      </w:r>
      <w:proofErr w:type="spellStart"/>
      <w:r w:rsidR="00B465D2" w:rsidRPr="00B465D2">
        <w:rPr>
          <w:rFonts w:asciiTheme="majorHAnsi" w:hAnsiTheme="majorHAnsi" w:cstheme="majorHAnsi"/>
          <w:sz w:val="16"/>
          <w:szCs w:val="16"/>
        </w:rPr>
        <w:t>Obersteiner</w:t>
      </w:r>
      <w:proofErr w:type="spellEnd"/>
      <w:r w:rsidR="00B465D2" w:rsidRPr="00B465D2">
        <w:rPr>
          <w:rFonts w:asciiTheme="majorHAnsi" w:hAnsiTheme="majorHAnsi" w:cstheme="majorHAnsi"/>
          <w:sz w:val="16"/>
          <w:szCs w:val="16"/>
        </w:rPr>
        <w:t xml:space="preserve">, M., Paulus, E. and </w:t>
      </w:r>
      <w:proofErr w:type="spellStart"/>
      <w:r w:rsidR="00B465D2" w:rsidRPr="00B465D2">
        <w:rPr>
          <w:rFonts w:asciiTheme="majorHAnsi" w:hAnsiTheme="majorHAnsi" w:cstheme="majorHAnsi"/>
          <w:sz w:val="16"/>
          <w:szCs w:val="16"/>
        </w:rPr>
        <w:t>Sabuco</w:t>
      </w:r>
      <w:proofErr w:type="spellEnd"/>
      <w:r w:rsidR="00B465D2" w:rsidRPr="00B465D2">
        <w:rPr>
          <w:rFonts w:asciiTheme="majorHAnsi" w:hAnsiTheme="majorHAnsi" w:cstheme="majorHAnsi"/>
          <w:sz w:val="16"/>
          <w:szCs w:val="16"/>
        </w:rPr>
        <w:t>, J. (2023). The</w:t>
      </w:r>
      <w:r w:rsidR="00B465D2">
        <w:rPr>
          <w:rFonts w:asciiTheme="majorHAnsi" w:hAnsiTheme="majorHAnsi" w:cstheme="majorHAnsi"/>
          <w:sz w:val="16"/>
          <w:szCs w:val="16"/>
        </w:rPr>
        <w:t xml:space="preserve"> </w:t>
      </w:r>
      <w:r w:rsidR="00B465D2" w:rsidRPr="00B465D2">
        <w:rPr>
          <w:rFonts w:asciiTheme="majorHAnsi" w:hAnsiTheme="majorHAnsi" w:cstheme="majorHAnsi"/>
          <w:sz w:val="16"/>
          <w:szCs w:val="16"/>
        </w:rPr>
        <w:t>Green Scorpion: the Macro-Criticality of Nature for Finance – Foundations for scenario-based analysis</w:t>
      </w:r>
      <w:r w:rsidR="00B465D2">
        <w:rPr>
          <w:rFonts w:asciiTheme="majorHAnsi" w:hAnsiTheme="majorHAnsi" w:cstheme="majorHAnsi"/>
          <w:sz w:val="16"/>
          <w:szCs w:val="16"/>
        </w:rPr>
        <w:t xml:space="preserve"> </w:t>
      </w:r>
      <w:r w:rsidR="00B465D2" w:rsidRPr="00B465D2">
        <w:rPr>
          <w:rFonts w:asciiTheme="majorHAnsi" w:hAnsiTheme="majorHAnsi" w:cstheme="majorHAnsi"/>
          <w:sz w:val="16"/>
          <w:szCs w:val="16"/>
        </w:rPr>
        <w:t>of complex and cascading physical nature-related risks. Oxford: Environmental Change Institute,</w:t>
      </w:r>
      <w:r w:rsidR="00B465D2">
        <w:rPr>
          <w:rFonts w:asciiTheme="majorHAnsi" w:hAnsiTheme="majorHAnsi" w:cstheme="majorHAnsi"/>
          <w:sz w:val="16"/>
          <w:szCs w:val="16"/>
        </w:rPr>
        <w:t xml:space="preserve"> </w:t>
      </w:r>
      <w:r w:rsidR="00B465D2" w:rsidRPr="00B465D2">
        <w:rPr>
          <w:rFonts w:asciiTheme="majorHAnsi" w:hAnsiTheme="majorHAnsi" w:cstheme="majorHAnsi"/>
          <w:sz w:val="16"/>
          <w:szCs w:val="16"/>
        </w:rPr>
        <w:t>University of Oxford</w:t>
      </w:r>
      <w:r w:rsidR="00B465D2">
        <w:rPr>
          <w:rFonts w:asciiTheme="majorHAnsi" w:hAnsiTheme="majorHAnsi" w:cstheme="majorHAnsi"/>
          <w:sz w:val="16"/>
          <w:szCs w:val="16"/>
        </w:rPr>
        <w:t xml:space="preserve">. </w:t>
      </w:r>
      <w:hyperlink r:id="rId3" w:history="1">
        <w:r w:rsidR="00B465D2" w:rsidRPr="00B465D2">
          <w:rPr>
            <w:rStyle w:val="Hyperlink"/>
            <w:rFonts w:asciiTheme="majorHAnsi" w:hAnsiTheme="majorHAnsi" w:cstheme="majorHAnsi"/>
            <w:sz w:val="16"/>
            <w:szCs w:val="16"/>
          </w:rPr>
          <w:t>ngfs.net</w:t>
        </w:r>
      </w:hyperlink>
    </w:p>
  </w:footnote>
  <w:footnote w:id="5">
    <w:p w14:paraId="32CD26F6" w14:textId="2119F5BC" w:rsidR="00792D73" w:rsidRPr="00DC36C4" w:rsidRDefault="00792D73">
      <w:pPr>
        <w:pStyle w:val="FootnoteText"/>
        <w:rPr>
          <w:rFonts w:asciiTheme="majorHAnsi" w:hAnsiTheme="majorHAnsi" w:cstheme="majorHAnsi"/>
          <w:sz w:val="16"/>
          <w:szCs w:val="16"/>
          <w:lang w:val="en-AU"/>
        </w:rPr>
      </w:pPr>
      <w:r w:rsidRPr="00DC36C4">
        <w:rPr>
          <w:rStyle w:val="FootnoteReference"/>
          <w:rFonts w:asciiTheme="majorHAnsi" w:hAnsiTheme="majorHAnsi" w:cstheme="majorHAnsi"/>
          <w:sz w:val="16"/>
          <w:szCs w:val="16"/>
        </w:rPr>
        <w:footnoteRef/>
      </w:r>
      <w:r w:rsidRPr="00DC36C4">
        <w:rPr>
          <w:rFonts w:asciiTheme="majorHAnsi" w:hAnsiTheme="majorHAnsi" w:cstheme="majorHAnsi"/>
          <w:sz w:val="16"/>
          <w:szCs w:val="16"/>
        </w:rPr>
        <w:t xml:space="preserve"> </w:t>
      </w:r>
      <w:r w:rsidR="009F51D3">
        <w:rPr>
          <w:rFonts w:asciiTheme="majorHAnsi" w:hAnsiTheme="majorHAnsi" w:cstheme="majorHAnsi"/>
          <w:sz w:val="16"/>
          <w:szCs w:val="16"/>
        </w:rPr>
        <w:t xml:space="preserve">TNFD (2025). </w:t>
      </w:r>
      <w:r w:rsidR="009F51D3" w:rsidRPr="009F51D3">
        <w:rPr>
          <w:rFonts w:asciiTheme="majorHAnsi" w:hAnsiTheme="majorHAnsi" w:cstheme="majorHAnsi"/>
          <w:sz w:val="16"/>
          <w:szCs w:val="16"/>
        </w:rPr>
        <w:t>Evidence review on the financial effects of nature-related risks</w:t>
      </w:r>
      <w:r w:rsidR="009F51D3">
        <w:rPr>
          <w:rFonts w:asciiTheme="majorHAnsi" w:hAnsiTheme="majorHAnsi" w:cstheme="majorHAnsi"/>
          <w:sz w:val="16"/>
          <w:szCs w:val="16"/>
        </w:rPr>
        <w:t xml:space="preserve">: </w:t>
      </w:r>
      <w:hyperlink r:id="rId4" w:history="1">
        <w:proofErr w:type="spellStart"/>
        <w:r w:rsidR="009F51D3" w:rsidRPr="009F51D3">
          <w:rPr>
            <w:rStyle w:val="Hyperlink"/>
            <w:rFonts w:asciiTheme="majorHAnsi" w:hAnsiTheme="majorHAnsi" w:cstheme="majorHAnsi"/>
            <w:sz w:val="16"/>
            <w:szCs w:val="16"/>
          </w:rPr>
          <w:t>tnfd.global</w:t>
        </w:r>
        <w:proofErr w:type="spellEnd"/>
      </w:hyperlink>
    </w:p>
  </w:footnote>
  <w:footnote w:id="6">
    <w:p w14:paraId="5595946E" w14:textId="29452298" w:rsidR="00792D73" w:rsidRPr="00DC36C4" w:rsidRDefault="00792D73" w:rsidP="00792D73">
      <w:pPr>
        <w:pStyle w:val="FootnoteText"/>
        <w:rPr>
          <w:rFonts w:asciiTheme="majorHAnsi" w:hAnsiTheme="majorHAnsi" w:cstheme="majorHAnsi"/>
          <w:sz w:val="16"/>
          <w:szCs w:val="16"/>
          <w:lang w:val="en-AU"/>
        </w:rPr>
      </w:pPr>
      <w:r w:rsidRPr="00DC36C4">
        <w:rPr>
          <w:rStyle w:val="FootnoteReference"/>
          <w:rFonts w:asciiTheme="majorHAnsi" w:hAnsiTheme="majorHAnsi" w:cstheme="majorHAnsi"/>
          <w:sz w:val="16"/>
          <w:szCs w:val="16"/>
        </w:rPr>
        <w:footnoteRef/>
      </w:r>
      <w:r w:rsidRPr="00DC36C4">
        <w:rPr>
          <w:rFonts w:asciiTheme="majorHAnsi" w:hAnsiTheme="majorHAnsi" w:cstheme="majorHAnsi"/>
          <w:sz w:val="16"/>
          <w:szCs w:val="16"/>
        </w:rPr>
        <w:t xml:space="preserve"> </w:t>
      </w:r>
      <w:r w:rsidR="009F51D3">
        <w:rPr>
          <w:rFonts w:asciiTheme="majorHAnsi" w:hAnsiTheme="majorHAnsi" w:cstheme="majorHAnsi"/>
          <w:sz w:val="16"/>
          <w:szCs w:val="16"/>
          <w:lang w:val="en-AU"/>
        </w:rPr>
        <w:t xml:space="preserve">UNEP FI (2025). Nature Uncovered for Insurers series. Breaking Ground. Getting Practical with Nature-Related Assessments. Geneva: </w:t>
      </w:r>
      <w:hyperlink r:id="rId5" w:history="1">
        <w:r w:rsidR="009F51D3" w:rsidRPr="009F51D3">
          <w:rPr>
            <w:rStyle w:val="Hyperlink"/>
            <w:rFonts w:asciiTheme="majorHAnsi" w:hAnsiTheme="majorHAnsi" w:cstheme="majorHAnsi"/>
            <w:sz w:val="16"/>
            <w:szCs w:val="16"/>
            <w:lang w:val="en-AU"/>
          </w:rPr>
          <w:t>unepfi.com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8813" w14:textId="77777777" w:rsidR="000B5620" w:rsidRDefault="00D417A3">
    <w:pPr>
      <w:pStyle w:val="Header"/>
    </w:pPr>
    <w:r>
      <w:rPr>
        <w:noProof/>
      </w:rPr>
      <w:pict w14:anchorId="39234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24.7pt;height:254.8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5B45" w14:textId="77777777" w:rsidR="000B5620" w:rsidRDefault="00D417A3">
    <w:pPr>
      <w:pStyle w:val="Header"/>
    </w:pPr>
    <w:r>
      <w:rPr>
        <w:noProof/>
      </w:rPr>
      <w:pict w14:anchorId="729838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24.7pt;height:254.8pt;rotation:315;z-index:-2516582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0B5620" w:rsidRPr="00CE0164">
      <w:rPr>
        <w:noProof/>
      </w:rPr>
      <w:drawing>
        <wp:inline distT="0" distB="0" distL="0" distR="0" wp14:anchorId="0DD6C48C" wp14:editId="033EE8DC">
          <wp:extent cx="861060" cy="602269"/>
          <wp:effectExtent l="0" t="0" r="2540" b="0"/>
          <wp:docPr id="863299657" name="Picture 1" descr="A blue and white rectang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20478" name="Picture 1" descr="A blue and white rectangular sign&#10;&#10;Description automatically generated"/>
                  <pic:cNvPicPr/>
                </pic:nvPicPr>
                <pic:blipFill>
                  <a:blip r:embed="rId1"/>
                  <a:stretch>
                    <a:fillRect/>
                  </a:stretch>
                </pic:blipFill>
                <pic:spPr>
                  <a:xfrm>
                    <a:off x="0" y="0"/>
                    <a:ext cx="884500" cy="618664"/>
                  </a:xfrm>
                  <a:prstGeom prst="rect">
                    <a:avLst/>
                  </a:prstGeom>
                </pic:spPr>
              </pic:pic>
            </a:graphicData>
          </a:graphic>
        </wp:inline>
      </w:drawing>
    </w:r>
  </w:p>
  <w:p w14:paraId="6FB35ED9" w14:textId="77777777" w:rsidR="000B5620" w:rsidRDefault="000B56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B064" w14:textId="77777777" w:rsidR="000B5620" w:rsidRDefault="00D417A3">
    <w:pPr>
      <w:pStyle w:val="Header"/>
    </w:pPr>
    <w:r>
      <w:rPr>
        <w:noProof/>
      </w:rPr>
      <w:pict w14:anchorId="5C12B4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424.7pt;height:254.8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WSLM1DUmcRuWib" int2:id="59c9CQK9">
      <int2:state int2:value="Rejected" int2:type="AugLoop_Text_Critique"/>
    </int2:textHash>
    <int2:textHash int2:hashCode="ZeqYLDKFz1LKlB" int2:id="7tFMHrit">
      <int2:state int2:value="Rejected" int2:type="AugLoop_Text_Critique"/>
    </int2:textHash>
    <int2:textHash int2:hashCode="OjA6ov4QhGkJ9E" int2:id="7uuZ7VDY">
      <int2:state int2:value="Rejected" int2:type="AugLoop_Text_Critique"/>
    </int2:textHash>
    <int2:textHash int2:hashCode="ffcmpcJbBplIDx" int2:id="87rn5FIz">
      <int2:state int2:value="Rejected" int2:type="AugLoop_Text_Critique"/>
    </int2:textHash>
    <int2:textHash int2:hashCode="CCErbSie4XHnY4" int2:id="EtvnTJx7">
      <int2:state int2:value="Rejected" int2:type="AugLoop_Text_Critique"/>
    </int2:textHash>
    <int2:textHash int2:hashCode="KU+Ie34lqZe+hl" int2:id="HCyDyYJi">
      <int2:state int2:value="Rejected" int2:type="AugLoop_Text_Critique"/>
    </int2:textHash>
    <int2:textHash int2:hashCode="G++DD9x3yyUNUn" int2:id="HUASMPb0">
      <int2:state int2:value="Rejected" int2:type="AugLoop_Text_Critique"/>
    </int2:textHash>
    <int2:textHash int2:hashCode="WogjwVwyJEgr+N" int2:id="JaGIthz8">
      <int2:state int2:value="Rejected" int2:type="AugLoop_Text_Critique"/>
    </int2:textHash>
    <int2:textHash int2:hashCode="vyR5fLKZi07wt3" int2:id="Jze1dcy4">
      <int2:state int2:value="Rejected" int2:type="AugLoop_Text_Critique"/>
    </int2:textHash>
    <int2:textHash int2:hashCode="I/yNAvcxCfxkxI" int2:id="OadZulu3">
      <int2:state int2:value="Rejected" int2:type="AugLoop_Text_Critique"/>
    </int2:textHash>
    <int2:textHash int2:hashCode="sgIKSs70uYZpM3" int2:id="QQbSPRR8">
      <int2:state int2:value="Rejected" int2:type="AugLoop_Text_Critique"/>
    </int2:textHash>
    <int2:textHash int2:hashCode="Bnh9rW6Vb5qi4t" int2:id="TUf71zxh">
      <int2:state int2:value="Rejected" int2:type="AugLoop_Text_Critique"/>
    </int2:textHash>
    <int2:textHash int2:hashCode="9cBCROnzzaeu4m" int2:id="TbSjDESv">
      <int2:state int2:value="Rejected" int2:type="AugLoop_Text_Critique"/>
    </int2:textHash>
    <int2:textHash int2:hashCode="OiywcKtzBM0AMd" int2:id="VfDqeBqL">
      <int2:state int2:value="Rejected" int2:type="AugLoop_Text_Critique"/>
    </int2:textHash>
    <int2:textHash int2:hashCode="epctBzp0SS7CYh" int2:id="YgrdiQKx">
      <int2:state int2:value="Rejected" int2:type="AugLoop_Text_Critique"/>
    </int2:textHash>
    <int2:textHash int2:hashCode="f+w+MUP8UKvoaW" int2:id="qptI6pSI">
      <int2:state int2:value="Rejected" int2:type="AugLoop_Text_Critique"/>
    </int2:textHash>
    <int2:textHash int2:hashCode="oGrV27/k9T5J7b" int2:id="rJJAs6H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E8A"/>
    <w:multiLevelType w:val="hybridMultilevel"/>
    <w:tmpl w:val="40E02BC8"/>
    <w:lvl w:ilvl="0" w:tplc="B54E0BBC">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F7171"/>
    <w:multiLevelType w:val="hybridMultilevel"/>
    <w:tmpl w:val="2E140108"/>
    <w:lvl w:ilvl="0" w:tplc="F3B4000C">
      <w:start w:val="1"/>
      <w:numFmt w:val="bullet"/>
      <w:lvlText w:val="-"/>
      <w:lvlJc w:val="left"/>
      <w:pPr>
        <w:ind w:left="720" w:hanging="360"/>
      </w:pPr>
      <w:rPr>
        <w:rFonts w:ascii="Cambria" w:eastAsia="Times New Roman" w:hAnsi="Cambria" w:cs="Apple Color Emoj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F6800"/>
    <w:multiLevelType w:val="hybridMultilevel"/>
    <w:tmpl w:val="172A0B1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2BE64B8"/>
    <w:multiLevelType w:val="hybridMultilevel"/>
    <w:tmpl w:val="E05A7DA4"/>
    <w:lvl w:ilvl="0" w:tplc="7248B656">
      <w:start w:val="1"/>
      <w:numFmt w:val="bullet"/>
      <w:lvlText w:val="-"/>
      <w:lvlJc w:val="left"/>
      <w:pPr>
        <w:ind w:left="36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223608"/>
    <w:multiLevelType w:val="hybridMultilevel"/>
    <w:tmpl w:val="32FA2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F35984"/>
    <w:multiLevelType w:val="hybridMultilevel"/>
    <w:tmpl w:val="C67E7FA0"/>
    <w:lvl w:ilvl="0" w:tplc="7248B656">
      <w:start w:val="1"/>
      <w:numFmt w:val="bullet"/>
      <w:lvlText w:val="-"/>
      <w:lvlJc w:val="left"/>
      <w:pPr>
        <w:ind w:left="36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2C4F0A"/>
    <w:multiLevelType w:val="multilevel"/>
    <w:tmpl w:val="C4A2ED40"/>
    <w:lvl w:ilvl="0">
      <w:numFmt w:val="bullet"/>
      <w:lvlText w:val="-"/>
      <w:lvlJc w:val="left"/>
      <w:pPr>
        <w:ind w:left="360" w:hanging="360"/>
      </w:pPr>
      <w:rPr>
        <w:rFonts w:ascii="Calibri Light" w:eastAsia="Times New Roman" w:hAnsi="Calibri Light" w:cs="Calibri Light" w:hint="default"/>
        <w:color w:val="4472C4" w:themeColor="accent1"/>
        <w:sz w:val="22"/>
      </w:rPr>
    </w:lvl>
    <w:lvl w:ilvl="1">
      <w:start w:val="1"/>
      <w:numFmt w:val="bullet"/>
      <w:lvlText w:val="-"/>
      <w:lvlJc w:val="left"/>
      <w:pPr>
        <w:ind w:left="1440" w:hanging="360"/>
      </w:pPr>
      <w:rPr>
        <w:rFonts w:ascii="Cambria" w:eastAsia="Times New Roman" w:hAnsi="Cambria" w:cs="Apple Color Emoji" w:hint="default"/>
      </w:rPr>
    </w:lvl>
    <w:lvl w:ilvl="2">
      <w:start w:val="1"/>
      <w:numFmt w:val="lowerRoman"/>
      <w:lvlText w:val="%3."/>
      <w:lvlJc w:val="right"/>
      <w:pPr>
        <w:ind w:left="2160" w:hanging="180"/>
      </w:pPr>
    </w:lvl>
    <w:lvl w:ilvl="3">
      <w:start w:val="1"/>
      <w:numFmt w:val="bullet"/>
      <w:lvlText w:val="-"/>
      <w:lvlJc w:val="left"/>
      <w:pPr>
        <w:ind w:left="2880" w:hanging="360"/>
      </w:pPr>
      <w:rPr>
        <w:rFonts w:ascii="Calibri Light" w:eastAsia="Times New Roman" w:hAnsi="Calibri Light" w:cs="Calibri Light"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451E7C"/>
    <w:multiLevelType w:val="hybridMultilevel"/>
    <w:tmpl w:val="69FA29D6"/>
    <w:lvl w:ilvl="0" w:tplc="F3CEEF74">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C31474"/>
    <w:multiLevelType w:val="hybridMultilevel"/>
    <w:tmpl w:val="9C421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C226D7"/>
    <w:multiLevelType w:val="hybridMultilevel"/>
    <w:tmpl w:val="0C9C1FCC"/>
    <w:lvl w:ilvl="0" w:tplc="F3B4000C">
      <w:start w:val="1"/>
      <w:numFmt w:val="bullet"/>
      <w:lvlText w:val="-"/>
      <w:lvlJc w:val="left"/>
      <w:pPr>
        <w:ind w:left="720" w:hanging="360"/>
      </w:pPr>
      <w:rPr>
        <w:rFonts w:ascii="Cambria" w:eastAsia="Times New Roman" w:hAnsi="Cambria" w:cs="Apple Color Emoj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505359"/>
    <w:multiLevelType w:val="hybridMultilevel"/>
    <w:tmpl w:val="93441D1E"/>
    <w:lvl w:ilvl="0" w:tplc="FFFFFFFF">
      <w:start w:val="1"/>
      <w:numFmt w:val="decimal"/>
      <w:lvlText w:val="%1."/>
      <w:lvlJc w:val="left"/>
      <w:pPr>
        <w:ind w:left="360" w:hanging="360"/>
      </w:pPr>
      <w:rPr>
        <w:rFonts w:hint="default"/>
        <w:color w:val="4472C4"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E9E01F5"/>
    <w:multiLevelType w:val="hybridMultilevel"/>
    <w:tmpl w:val="617C374A"/>
    <w:lvl w:ilvl="0" w:tplc="B54E0BB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EC1FC3"/>
    <w:multiLevelType w:val="hybridMultilevel"/>
    <w:tmpl w:val="AF9EDFE8"/>
    <w:lvl w:ilvl="0" w:tplc="20108332">
      <w:start w:val="30"/>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EC4FE9"/>
    <w:multiLevelType w:val="hybridMultilevel"/>
    <w:tmpl w:val="BFFE064A"/>
    <w:lvl w:ilvl="0" w:tplc="7248B656">
      <w:start w:val="1"/>
      <w:numFmt w:val="bullet"/>
      <w:lvlText w:val="-"/>
      <w:lvlJc w:val="left"/>
      <w:pPr>
        <w:ind w:left="36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F51399"/>
    <w:multiLevelType w:val="hybridMultilevel"/>
    <w:tmpl w:val="084CC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474345"/>
    <w:multiLevelType w:val="hybridMultilevel"/>
    <w:tmpl w:val="D8F268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13B77700"/>
    <w:multiLevelType w:val="hybridMultilevel"/>
    <w:tmpl w:val="0CF46DA2"/>
    <w:lvl w:ilvl="0" w:tplc="B54E0BB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9135B7"/>
    <w:multiLevelType w:val="hybridMultilevel"/>
    <w:tmpl w:val="4C6C4FC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5812432"/>
    <w:multiLevelType w:val="hybridMultilevel"/>
    <w:tmpl w:val="F1A01B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5CE44C2"/>
    <w:multiLevelType w:val="hybridMultilevel"/>
    <w:tmpl w:val="2EF25F58"/>
    <w:lvl w:ilvl="0" w:tplc="7248B656">
      <w:start w:val="1"/>
      <w:numFmt w:val="bullet"/>
      <w:lvlText w:val="-"/>
      <w:lvlJc w:val="left"/>
      <w:pPr>
        <w:ind w:left="36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515AB3"/>
    <w:multiLevelType w:val="hybridMultilevel"/>
    <w:tmpl w:val="93441D1E"/>
    <w:lvl w:ilvl="0" w:tplc="7F426610">
      <w:start w:val="1"/>
      <w:numFmt w:val="decimal"/>
      <w:lvlText w:val="%1."/>
      <w:lvlJc w:val="left"/>
      <w:pPr>
        <w:ind w:left="360" w:hanging="360"/>
      </w:pPr>
      <w:rPr>
        <w:rFonts w:hint="default"/>
        <w:color w:val="4472C4"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17281F62"/>
    <w:multiLevelType w:val="hybridMultilevel"/>
    <w:tmpl w:val="93441D1E"/>
    <w:lvl w:ilvl="0" w:tplc="FFFFFFFF">
      <w:start w:val="1"/>
      <w:numFmt w:val="decimal"/>
      <w:lvlText w:val="%1."/>
      <w:lvlJc w:val="left"/>
      <w:pPr>
        <w:ind w:left="360" w:hanging="360"/>
      </w:pPr>
      <w:rPr>
        <w:rFonts w:hint="default"/>
        <w:color w:val="4472C4"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17375105"/>
    <w:multiLevelType w:val="hybridMultilevel"/>
    <w:tmpl w:val="06DA44C4"/>
    <w:lvl w:ilvl="0" w:tplc="F3B4000C">
      <w:start w:val="1"/>
      <w:numFmt w:val="bullet"/>
      <w:lvlText w:val="-"/>
      <w:lvlJc w:val="left"/>
      <w:pPr>
        <w:ind w:left="720" w:hanging="360"/>
      </w:pPr>
      <w:rPr>
        <w:rFonts w:ascii="Cambria" w:eastAsia="Times New Roman" w:hAnsi="Cambria" w:cs="Apple Color Emoj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C5599E"/>
    <w:multiLevelType w:val="hybridMultilevel"/>
    <w:tmpl w:val="A99AF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AD06A9"/>
    <w:multiLevelType w:val="multilevel"/>
    <w:tmpl w:val="F998EA9E"/>
    <w:lvl w:ilvl="0">
      <w:numFmt w:val="bullet"/>
      <w:lvlText w:val="•"/>
      <w:lvlJc w:val="left"/>
      <w:pPr>
        <w:ind w:left="360" w:hanging="360"/>
      </w:pPr>
      <w:rPr>
        <w:rFonts w:ascii="EYInterstate Light" w:hAnsi="EYInterstate Light" w:cs="Times New Roman" w:hint="default"/>
        <w:color w:val="auto"/>
        <w:sz w:val="22"/>
      </w:rPr>
    </w:lvl>
    <w:lvl w:ilvl="1">
      <w:start w:val="5"/>
      <w:numFmt w:val="bullet"/>
      <w:lvlText w:val="-"/>
      <w:lvlJc w:val="left"/>
      <w:pPr>
        <w:ind w:left="1440" w:hanging="360"/>
      </w:pPr>
      <w:rPr>
        <w:rFonts w:ascii="Calibri" w:eastAsiaTheme="minorHAnsi" w:hAnsi="Calibri" w:cs="Calibri" w:hint="default"/>
      </w:rPr>
    </w:lvl>
    <w:lvl w:ilvl="2">
      <w:start w:val="1"/>
      <w:numFmt w:val="lowerRoman"/>
      <w:lvlText w:val="%3."/>
      <w:lvlJc w:val="right"/>
      <w:pPr>
        <w:ind w:left="2160" w:hanging="180"/>
      </w:pPr>
    </w:lvl>
    <w:lvl w:ilvl="3">
      <w:start w:val="1"/>
      <w:numFmt w:val="bullet"/>
      <w:lvlText w:val="-"/>
      <w:lvlJc w:val="left"/>
      <w:pPr>
        <w:ind w:left="2880" w:hanging="360"/>
      </w:pPr>
      <w:rPr>
        <w:rFonts w:ascii="Calibri Light" w:eastAsia="Times New Roman" w:hAnsi="Calibri Light" w:cs="Calibri Light"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C116D3F"/>
    <w:multiLevelType w:val="hybridMultilevel"/>
    <w:tmpl w:val="AB3CA4D0"/>
    <w:lvl w:ilvl="0" w:tplc="B54E0BB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D1F6533"/>
    <w:multiLevelType w:val="hybridMultilevel"/>
    <w:tmpl w:val="59D49498"/>
    <w:lvl w:ilvl="0" w:tplc="C778D2B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907D76"/>
    <w:multiLevelType w:val="hybridMultilevel"/>
    <w:tmpl w:val="8584A710"/>
    <w:lvl w:ilvl="0" w:tplc="B54E0BBC">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670731"/>
    <w:multiLevelType w:val="hybridMultilevel"/>
    <w:tmpl w:val="09A685BA"/>
    <w:lvl w:ilvl="0" w:tplc="B54E0BBC">
      <w:numFmt w:val="bullet"/>
      <w:lvlText w:val="-"/>
      <w:lvlJc w:val="left"/>
      <w:pPr>
        <w:ind w:left="360" w:hanging="360"/>
      </w:pPr>
      <w:rPr>
        <w:rFonts w:ascii="Calibri Light" w:eastAsia="Times New Roman"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5294123"/>
    <w:multiLevelType w:val="hybridMultilevel"/>
    <w:tmpl w:val="94DAF3A8"/>
    <w:lvl w:ilvl="0" w:tplc="34CE2624">
      <w:start w:val="3"/>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DE5FB3"/>
    <w:multiLevelType w:val="hybridMultilevel"/>
    <w:tmpl w:val="94DC22B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72D2C2E"/>
    <w:multiLevelType w:val="hybridMultilevel"/>
    <w:tmpl w:val="93441D1E"/>
    <w:lvl w:ilvl="0" w:tplc="FFFFFFFF">
      <w:start w:val="1"/>
      <w:numFmt w:val="decimal"/>
      <w:lvlText w:val="%1."/>
      <w:lvlJc w:val="left"/>
      <w:pPr>
        <w:ind w:left="360" w:hanging="360"/>
      </w:pPr>
      <w:rPr>
        <w:rFonts w:hint="default"/>
        <w:color w:val="4472C4"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87E1E42"/>
    <w:multiLevelType w:val="hybridMultilevel"/>
    <w:tmpl w:val="2236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DB485D"/>
    <w:multiLevelType w:val="hybridMultilevel"/>
    <w:tmpl w:val="CA88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201C22"/>
    <w:multiLevelType w:val="hybridMultilevel"/>
    <w:tmpl w:val="77F8C16C"/>
    <w:lvl w:ilvl="0" w:tplc="C778D2B6">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D2937D2"/>
    <w:multiLevelType w:val="multilevel"/>
    <w:tmpl w:val="5376456E"/>
    <w:lvl w:ilvl="0">
      <w:start w:val="1"/>
      <w:numFmt w:val="decimal"/>
      <w:pStyle w:val="TitleUN"/>
      <w:lvlText w:val="%1."/>
      <w:lvlJc w:val="left"/>
      <w:pPr>
        <w:ind w:left="720" w:hanging="360"/>
      </w:pPr>
      <w:rPr>
        <w:rFonts w:hint="default"/>
      </w:rPr>
    </w:lvl>
    <w:lvl w:ilvl="1">
      <w:start w:val="1"/>
      <w:numFmt w:val="decimal"/>
      <w:pStyle w:val="subtitles"/>
      <w:isLgl/>
      <w:lvlText w:val="%1.%2"/>
      <w:lvlJc w:val="left"/>
      <w:pPr>
        <w:ind w:left="644" w:hanging="360"/>
      </w:pPr>
      <w:rPr>
        <w:rFonts w:hint="default"/>
        <w:color w:val="5B9BD5" w:themeColor="accent5"/>
      </w:r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2D5F4B27"/>
    <w:multiLevelType w:val="hybridMultilevel"/>
    <w:tmpl w:val="A1B2A3A2"/>
    <w:lvl w:ilvl="0" w:tplc="B54E0BB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1B7E96"/>
    <w:multiLevelType w:val="hybridMultilevel"/>
    <w:tmpl w:val="1DB62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143182"/>
    <w:multiLevelType w:val="hybridMultilevel"/>
    <w:tmpl w:val="6F6CE190"/>
    <w:lvl w:ilvl="0" w:tplc="DC589BF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3505476"/>
    <w:multiLevelType w:val="hybridMultilevel"/>
    <w:tmpl w:val="00808F32"/>
    <w:lvl w:ilvl="0" w:tplc="7248B656">
      <w:start w:val="1"/>
      <w:numFmt w:val="bullet"/>
      <w:lvlText w:val="-"/>
      <w:lvlJc w:val="left"/>
      <w:pPr>
        <w:ind w:left="36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37A0F4B"/>
    <w:multiLevelType w:val="hybridMultilevel"/>
    <w:tmpl w:val="5FD25FF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60F1F93"/>
    <w:multiLevelType w:val="hybridMultilevel"/>
    <w:tmpl w:val="F23A3884"/>
    <w:lvl w:ilvl="0" w:tplc="DC589BFA">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363A7E7C"/>
    <w:multiLevelType w:val="multilevel"/>
    <w:tmpl w:val="C4A2ED40"/>
    <w:lvl w:ilvl="0">
      <w:numFmt w:val="bullet"/>
      <w:lvlText w:val="-"/>
      <w:lvlJc w:val="left"/>
      <w:pPr>
        <w:ind w:left="360" w:hanging="360"/>
      </w:pPr>
      <w:rPr>
        <w:rFonts w:ascii="Calibri Light" w:eastAsia="Times New Roman" w:hAnsi="Calibri Light" w:cs="Calibri Light" w:hint="default"/>
        <w:color w:val="4472C4" w:themeColor="accent1"/>
        <w:sz w:val="22"/>
      </w:rPr>
    </w:lvl>
    <w:lvl w:ilvl="1">
      <w:start w:val="1"/>
      <w:numFmt w:val="bullet"/>
      <w:lvlText w:val="-"/>
      <w:lvlJc w:val="left"/>
      <w:pPr>
        <w:ind w:left="1440" w:hanging="360"/>
      </w:pPr>
      <w:rPr>
        <w:rFonts w:ascii="Cambria" w:eastAsia="Times New Roman" w:hAnsi="Cambria" w:cs="Apple Color Emoji" w:hint="default"/>
      </w:rPr>
    </w:lvl>
    <w:lvl w:ilvl="2">
      <w:start w:val="1"/>
      <w:numFmt w:val="lowerRoman"/>
      <w:lvlText w:val="%3."/>
      <w:lvlJc w:val="right"/>
      <w:pPr>
        <w:ind w:left="2160" w:hanging="180"/>
      </w:pPr>
    </w:lvl>
    <w:lvl w:ilvl="3">
      <w:start w:val="1"/>
      <w:numFmt w:val="bullet"/>
      <w:lvlText w:val="-"/>
      <w:lvlJc w:val="left"/>
      <w:pPr>
        <w:ind w:left="2880" w:hanging="360"/>
      </w:pPr>
      <w:rPr>
        <w:rFonts w:ascii="Calibri Light" w:eastAsia="Times New Roman" w:hAnsi="Calibri Light" w:cs="Calibri Light"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A580427"/>
    <w:multiLevelType w:val="hybridMultilevel"/>
    <w:tmpl w:val="E01C2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5E68D3"/>
    <w:multiLevelType w:val="hybridMultilevel"/>
    <w:tmpl w:val="888CF576"/>
    <w:lvl w:ilvl="0" w:tplc="B54E0BB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6D0859"/>
    <w:multiLevelType w:val="hybridMultilevel"/>
    <w:tmpl w:val="DAD487EE"/>
    <w:lvl w:ilvl="0" w:tplc="7248B656">
      <w:start w:val="1"/>
      <w:numFmt w:val="bullet"/>
      <w:lvlText w:val="-"/>
      <w:lvlJc w:val="left"/>
      <w:pPr>
        <w:ind w:left="360" w:hanging="360"/>
      </w:pPr>
      <w:rPr>
        <w:rFonts w:ascii="Calibri Light" w:eastAsia="Times New Roman" w:hAnsi="Calibri Light" w:cs="Calibri Ligh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2160904"/>
    <w:multiLevelType w:val="hybridMultilevel"/>
    <w:tmpl w:val="113CA99A"/>
    <w:lvl w:ilvl="0" w:tplc="7248B656">
      <w:start w:val="1"/>
      <w:numFmt w:val="bullet"/>
      <w:lvlText w:val="-"/>
      <w:lvlJc w:val="left"/>
      <w:pPr>
        <w:ind w:left="36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9F59C4"/>
    <w:multiLevelType w:val="hybridMultilevel"/>
    <w:tmpl w:val="1974D7A8"/>
    <w:lvl w:ilvl="0" w:tplc="DC589BFA">
      <w:start w:val="1"/>
      <w:numFmt w:val="lowerLetter"/>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45FF1C19"/>
    <w:multiLevelType w:val="hybridMultilevel"/>
    <w:tmpl w:val="8CB21900"/>
    <w:lvl w:ilvl="0" w:tplc="6C1E2234">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295E91"/>
    <w:multiLevelType w:val="hybridMultilevel"/>
    <w:tmpl w:val="510EECC8"/>
    <w:lvl w:ilvl="0" w:tplc="F3CEEF74">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457911"/>
    <w:multiLevelType w:val="hybridMultilevel"/>
    <w:tmpl w:val="8324921E"/>
    <w:lvl w:ilvl="0" w:tplc="F3CEEF74">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C324D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4D6B5A03"/>
    <w:multiLevelType w:val="hybridMultilevel"/>
    <w:tmpl w:val="BE52BF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EFF40E2"/>
    <w:multiLevelType w:val="hybridMultilevel"/>
    <w:tmpl w:val="A69A0394"/>
    <w:lvl w:ilvl="0" w:tplc="48AA0712">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F4B25FF"/>
    <w:multiLevelType w:val="hybridMultilevel"/>
    <w:tmpl w:val="0316DB3A"/>
    <w:lvl w:ilvl="0" w:tplc="B54E0BBC">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EB2A7E"/>
    <w:multiLevelType w:val="multilevel"/>
    <w:tmpl w:val="B2B69742"/>
    <w:lvl w:ilvl="0">
      <w:numFmt w:val="bullet"/>
      <w:lvlText w:val="•"/>
      <w:lvlJc w:val="left"/>
      <w:pPr>
        <w:ind w:left="720" w:hanging="360"/>
      </w:pPr>
      <w:rPr>
        <w:rFonts w:ascii="Inter Light" w:eastAsia="Inter Light" w:hAnsi="Inter Light" w:cs="Inter Light"/>
        <w:color w:val="00000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bullet"/>
      <w:lvlText w:val="-"/>
      <w:lvlJc w:val="left"/>
      <w:pPr>
        <w:ind w:left="3240" w:hanging="360"/>
      </w:pPr>
      <w:rPr>
        <w:rFonts w:ascii="Calibri" w:eastAsia="Calibri" w:hAnsi="Calibri" w:cs="Calibri"/>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53220B0B"/>
    <w:multiLevelType w:val="multilevel"/>
    <w:tmpl w:val="B2B69742"/>
    <w:lvl w:ilvl="0">
      <w:numFmt w:val="bullet"/>
      <w:lvlText w:val="•"/>
      <w:lvlJc w:val="left"/>
      <w:pPr>
        <w:ind w:left="720" w:hanging="360"/>
      </w:pPr>
      <w:rPr>
        <w:rFonts w:ascii="Inter Light" w:eastAsia="Inter Light" w:hAnsi="Inter Light" w:cs="Inter Light"/>
        <w:color w:val="00000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bullet"/>
      <w:lvlText w:val="-"/>
      <w:lvlJc w:val="left"/>
      <w:pPr>
        <w:ind w:left="3240" w:hanging="360"/>
      </w:pPr>
      <w:rPr>
        <w:rFonts w:ascii="Calibri" w:eastAsia="Calibri" w:hAnsi="Calibri" w:cs="Calibri"/>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53971F89"/>
    <w:multiLevelType w:val="hybridMultilevel"/>
    <w:tmpl w:val="0DD606A2"/>
    <w:lvl w:ilvl="0" w:tplc="B54E0BBC">
      <w:numFmt w:val="bullet"/>
      <w:lvlText w:val="-"/>
      <w:lvlJc w:val="left"/>
      <w:pPr>
        <w:ind w:left="360" w:hanging="360"/>
      </w:pPr>
      <w:rPr>
        <w:rFonts w:ascii="Calibri Light" w:eastAsia="Times New Roman"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43B153C"/>
    <w:multiLevelType w:val="hybridMultilevel"/>
    <w:tmpl w:val="98789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C013EF"/>
    <w:multiLevelType w:val="hybridMultilevel"/>
    <w:tmpl w:val="4C6C4FC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550B415E"/>
    <w:multiLevelType w:val="hybridMultilevel"/>
    <w:tmpl w:val="DCCC14C6"/>
    <w:lvl w:ilvl="0" w:tplc="7248B656">
      <w:start w:val="1"/>
      <w:numFmt w:val="bullet"/>
      <w:lvlText w:val="-"/>
      <w:lvlJc w:val="left"/>
      <w:pPr>
        <w:ind w:left="36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C400D5"/>
    <w:multiLevelType w:val="hybridMultilevel"/>
    <w:tmpl w:val="113ECF52"/>
    <w:lvl w:ilvl="0" w:tplc="447A7BB8">
      <w:start w:val="1"/>
      <w:numFmt w:val="bullet"/>
      <w:lvlText w:val=""/>
      <w:lvlJc w:val="left"/>
      <w:pPr>
        <w:ind w:left="720" w:hanging="360"/>
      </w:pPr>
      <w:rPr>
        <w:rFonts w:ascii="Symbol" w:eastAsia="Times New Roman"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61769BD"/>
    <w:multiLevelType w:val="hybridMultilevel"/>
    <w:tmpl w:val="79286CCC"/>
    <w:lvl w:ilvl="0" w:tplc="7F426610">
      <w:start w:val="1"/>
      <w:numFmt w:val="decimal"/>
      <w:lvlText w:val="%1."/>
      <w:lvlJc w:val="left"/>
      <w:pPr>
        <w:ind w:left="720" w:hanging="360"/>
      </w:pPr>
      <w:rPr>
        <w:rFonts w:hint="default"/>
        <w:color w:val="4472C4"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8F866AF"/>
    <w:multiLevelType w:val="hybridMultilevel"/>
    <w:tmpl w:val="0C4AD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93A4F74"/>
    <w:multiLevelType w:val="hybridMultilevel"/>
    <w:tmpl w:val="CE4605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A2D4727"/>
    <w:multiLevelType w:val="hybridMultilevel"/>
    <w:tmpl w:val="BE58BEE8"/>
    <w:lvl w:ilvl="0" w:tplc="F3CEEF74">
      <w:numFmt w:val="bullet"/>
      <w:lvlText w:val="-"/>
      <w:lvlJc w:val="left"/>
      <w:pPr>
        <w:ind w:left="1080" w:hanging="360"/>
      </w:pPr>
      <w:rPr>
        <w:rFonts w:ascii="Calibri Light" w:eastAsia="Times New Roman"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5AAF278E"/>
    <w:multiLevelType w:val="hybridMultilevel"/>
    <w:tmpl w:val="59DA58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B7D1F5D"/>
    <w:multiLevelType w:val="hybridMultilevel"/>
    <w:tmpl w:val="3E661964"/>
    <w:lvl w:ilvl="0" w:tplc="7AFEDCB8">
      <w:start w:val="30"/>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B7F645C"/>
    <w:multiLevelType w:val="hybridMultilevel"/>
    <w:tmpl w:val="C816912C"/>
    <w:lvl w:ilvl="0" w:tplc="B54E0BB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4D6DA7"/>
    <w:multiLevelType w:val="hybridMultilevel"/>
    <w:tmpl w:val="70364596"/>
    <w:lvl w:ilvl="0" w:tplc="2042D444">
      <w:start w:val="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5FAD417C"/>
    <w:multiLevelType w:val="hybridMultilevel"/>
    <w:tmpl w:val="DB30478A"/>
    <w:lvl w:ilvl="0" w:tplc="91CCD4C8">
      <w:start w:val="30"/>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05317FB"/>
    <w:multiLevelType w:val="hybridMultilevel"/>
    <w:tmpl w:val="4C6C4FC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64CC2944"/>
    <w:multiLevelType w:val="hybridMultilevel"/>
    <w:tmpl w:val="906E6C92"/>
    <w:lvl w:ilvl="0" w:tplc="447A7BB8">
      <w:start w:val="1"/>
      <w:numFmt w:val="bullet"/>
      <w:lvlText w:val=""/>
      <w:lvlJc w:val="left"/>
      <w:pPr>
        <w:ind w:left="360" w:hanging="360"/>
      </w:pPr>
      <w:rPr>
        <w:rFonts w:ascii="Symbol" w:eastAsia="Times New Roman" w:hAnsi="Symbol" w:cstheme="maj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5537C64"/>
    <w:multiLevelType w:val="hybridMultilevel"/>
    <w:tmpl w:val="CCE063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5B47B68"/>
    <w:multiLevelType w:val="hybridMultilevel"/>
    <w:tmpl w:val="0124424E"/>
    <w:lvl w:ilvl="0" w:tplc="7248B656">
      <w:start w:val="1"/>
      <w:numFmt w:val="bullet"/>
      <w:lvlText w:val="-"/>
      <w:lvlJc w:val="left"/>
      <w:pPr>
        <w:ind w:left="360" w:hanging="360"/>
      </w:pPr>
      <w:rPr>
        <w:rFonts w:ascii="Calibri Light" w:eastAsia="Times New Roman"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6AD5797"/>
    <w:multiLevelType w:val="hybridMultilevel"/>
    <w:tmpl w:val="0FF0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74507A9"/>
    <w:multiLevelType w:val="multilevel"/>
    <w:tmpl w:val="CF92C9D8"/>
    <w:lvl w:ilvl="0">
      <w:numFmt w:val="bullet"/>
      <w:lvlText w:val="•"/>
      <w:lvlJc w:val="left"/>
      <w:pPr>
        <w:ind w:left="720" w:hanging="360"/>
      </w:pPr>
      <w:rPr>
        <w:rFonts w:ascii="Inter Light" w:eastAsia="Inter Light" w:hAnsi="Inter Light" w:cs="Inter Light"/>
        <w:color w:val="000000"/>
        <w:sz w:val="22"/>
        <w:szCs w:val="22"/>
      </w:rPr>
    </w:lvl>
    <w:lvl w:ilvl="1">
      <w:numFmt w:val="bullet"/>
      <w:lvlText w:val="-"/>
      <w:lvlJc w:val="left"/>
      <w:pPr>
        <w:ind w:left="1800" w:hanging="360"/>
      </w:pPr>
      <w:rPr>
        <w:rFonts w:ascii="Calibri Light" w:eastAsia="Times New Roman" w:hAnsi="Calibri Light" w:cs="Calibri Light" w:hint="default"/>
      </w:rPr>
    </w:lvl>
    <w:lvl w:ilvl="2">
      <w:start w:val="1"/>
      <w:numFmt w:val="lowerRoman"/>
      <w:lvlText w:val="%3."/>
      <w:lvlJc w:val="right"/>
      <w:pPr>
        <w:ind w:left="2520" w:hanging="180"/>
      </w:pPr>
    </w:lvl>
    <w:lvl w:ilvl="3">
      <w:start w:val="1"/>
      <w:numFmt w:val="bullet"/>
      <w:lvlText w:val="-"/>
      <w:lvlJc w:val="left"/>
      <w:pPr>
        <w:ind w:left="3240" w:hanging="360"/>
      </w:pPr>
      <w:rPr>
        <w:rFonts w:ascii="Calibri" w:eastAsia="Calibri" w:hAnsi="Calibri" w:cs="Calibri"/>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7" w15:restartNumberingAfterBreak="0">
    <w:nsid w:val="67905D10"/>
    <w:multiLevelType w:val="hybridMultilevel"/>
    <w:tmpl w:val="07DE0FBC"/>
    <w:name w:val="UnnamedList26110"/>
    <w:lvl w:ilvl="0" w:tplc="495EEEF6">
      <w:start w:val="1"/>
      <w:numFmt w:val="decimal"/>
      <w:lvlText w:val="%1."/>
      <w:lvlJc w:val="left"/>
      <w:pPr>
        <w:ind w:left="360" w:hanging="360"/>
      </w:pPr>
    </w:lvl>
    <w:lvl w:ilvl="1" w:tplc="DD70A8BA">
      <w:start w:val="1"/>
      <w:numFmt w:val="lowerLetter"/>
      <w:lvlText w:val="%2."/>
      <w:lvlJc w:val="left"/>
      <w:pPr>
        <w:ind w:left="1080" w:hanging="360"/>
      </w:pPr>
    </w:lvl>
    <w:lvl w:ilvl="2" w:tplc="955A0EF2">
      <w:start w:val="1"/>
      <w:numFmt w:val="lowerRoman"/>
      <w:lvlText w:val="%3."/>
      <w:lvlJc w:val="right"/>
      <w:pPr>
        <w:ind w:left="1800" w:hanging="180"/>
      </w:pPr>
    </w:lvl>
    <w:lvl w:ilvl="3" w:tplc="A3F68632">
      <w:start w:val="1"/>
      <w:numFmt w:val="decimal"/>
      <w:lvlText w:val="%4."/>
      <w:lvlJc w:val="left"/>
      <w:pPr>
        <w:ind w:left="2520" w:hanging="360"/>
      </w:pPr>
    </w:lvl>
    <w:lvl w:ilvl="4" w:tplc="B30EC45C">
      <w:start w:val="1"/>
      <w:numFmt w:val="lowerLetter"/>
      <w:lvlText w:val="%5."/>
      <w:lvlJc w:val="left"/>
      <w:pPr>
        <w:ind w:left="3240" w:hanging="360"/>
      </w:pPr>
    </w:lvl>
    <w:lvl w:ilvl="5" w:tplc="AF8E80D2">
      <w:start w:val="1"/>
      <w:numFmt w:val="lowerRoman"/>
      <w:lvlText w:val="%6."/>
      <w:lvlJc w:val="right"/>
      <w:pPr>
        <w:ind w:left="3960" w:hanging="180"/>
      </w:pPr>
    </w:lvl>
    <w:lvl w:ilvl="6" w:tplc="7666B5EC">
      <w:start w:val="1"/>
      <w:numFmt w:val="decimal"/>
      <w:lvlText w:val="%7."/>
      <w:lvlJc w:val="left"/>
      <w:pPr>
        <w:ind w:left="4680" w:hanging="360"/>
      </w:pPr>
    </w:lvl>
    <w:lvl w:ilvl="7" w:tplc="D0E44C18">
      <w:start w:val="1"/>
      <w:numFmt w:val="lowerLetter"/>
      <w:lvlText w:val="%8."/>
      <w:lvlJc w:val="left"/>
      <w:pPr>
        <w:ind w:left="5400" w:hanging="360"/>
      </w:pPr>
    </w:lvl>
    <w:lvl w:ilvl="8" w:tplc="A300E6AA">
      <w:start w:val="1"/>
      <w:numFmt w:val="lowerRoman"/>
      <w:lvlText w:val="%9."/>
      <w:lvlJc w:val="right"/>
      <w:pPr>
        <w:ind w:left="6120" w:hanging="180"/>
      </w:pPr>
    </w:lvl>
  </w:abstractNum>
  <w:abstractNum w:abstractNumId="78" w15:restartNumberingAfterBreak="0">
    <w:nsid w:val="68775AB9"/>
    <w:multiLevelType w:val="hybridMultilevel"/>
    <w:tmpl w:val="4BD454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88038BA"/>
    <w:multiLevelType w:val="hybridMultilevel"/>
    <w:tmpl w:val="E5DA8748"/>
    <w:lvl w:ilvl="0" w:tplc="B54E0BBC">
      <w:numFmt w:val="bullet"/>
      <w:lvlText w:val="-"/>
      <w:lvlJc w:val="left"/>
      <w:pPr>
        <w:ind w:left="587" w:hanging="360"/>
      </w:pPr>
      <w:rPr>
        <w:rFonts w:ascii="Calibri Light" w:eastAsia="Times New Roman" w:hAnsi="Calibri Light" w:cs="Calibri Light" w:hint="default"/>
      </w:rPr>
    </w:lvl>
    <w:lvl w:ilvl="1" w:tplc="9A82D910">
      <w:numFmt w:val="bullet"/>
      <w:lvlText w:val="-"/>
      <w:lvlJc w:val="left"/>
      <w:pPr>
        <w:ind w:left="1440" w:hanging="360"/>
      </w:pPr>
      <w:rPr>
        <w:rFonts w:ascii="Calibri Light" w:eastAsia="Times New Roman" w:hAnsi="Calibri Light" w:cs="Calibri Light" w:hint="default"/>
      </w:rPr>
    </w:lvl>
    <w:lvl w:ilvl="2" w:tplc="ACBEA300">
      <w:start w:val="1"/>
      <w:numFmt w:val="decimal"/>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89266C4"/>
    <w:multiLevelType w:val="hybridMultilevel"/>
    <w:tmpl w:val="C5969FB0"/>
    <w:lvl w:ilvl="0" w:tplc="DC589BF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9163D93"/>
    <w:multiLevelType w:val="multilevel"/>
    <w:tmpl w:val="5B380836"/>
    <w:lvl w:ilvl="0">
      <w:numFmt w:val="bullet"/>
      <w:lvlText w:val="•"/>
      <w:lvlJc w:val="left"/>
      <w:pPr>
        <w:ind w:left="360" w:hanging="360"/>
      </w:pPr>
      <w:rPr>
        <w:rFonts w:ascii="EYInterstate Light" w:hAnsi="EYInterstate Light" w:cs="Times New Roman" w:hint="default"/>
        <w:color w:val="auto"/>
        <w:sz w:val="22"/>
      </w:rPr>
    </w:lvl>
    <w:lvl w:ilvl="1">
      <w:start w:val="1"/>
      <w:numFmt w:val="bullet"/>
      <w:lvlText w:val="-"/>
      <w:lvlJc w:val="left"/>
      <w:pPr>
        <w:ind w:left="1440" w:hanging="360"/>
      </w:pPr>
      <w:rPr>
        <w:rFonts w:ascii="Cambria" w:eastAsia="Times New Roman" w:hAnsi="Cambria" w:cs="Apple Color Emoji" w:hint="default"/>
      </w:rPr>
    </w:lvl>
    <w:lvl w:ilvl="2">
      <w:start w:val="1"/>
      <w:numFmt w:val="lowerRoman"/>
      <w:lvlText w:val="%3."/>
      <w:lvlJc w:val="right"/>
      <w:pPr>
        <w:ind w:left="2160" w:hanging="180"/>
      </w:pPr>
    </w:lvl>
    <w:lvl w:ilvl="3">
      <w:start w:val="1"/>
      <w:numFmt w:val="bullet"/>
      <w:lvlText w:val="-"/>
      <w:lvlJc w:val="left"/>
      <w:pPr>
        <w:ind w:left="2880" w:hanging="360"/>
      </w:pPr>
      <w:rPr>
        <w:rFonts w:ascii="Calibri Light" w:eastAsia="Times New Roman" w:hAnsi="Calibri Light" w:cs="Calibri Light"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9702DA4"/>
    <w:multiLevelType w:val="hybridMultilevel"/>
    <w:tmpl w:val="6D142D6A"/>
    <w:lvl w:ilvl="0" w:tplc="B54E0BB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BD1749D"/>
    <w:multiLevelType w:val="hybridMultilevel"/>
    <w:tmpl w:val="ED78DC12"/>
    <w:lvl w:ilvl="0" w:tplc="F3CEEF74">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5B7C68"/>
    <w:multiLevelType w:val="multilevel"/>
    <w:tmpl w:val="7102FCCA"/>
    <w:lvl w:ilvl="0">
      <w:start w:val="1"/>
      <w:numFmt w:val="decimal"/>
      <w:lvlText w:val="%1)"/>
      <w:lvlJc w:val="left"/>
      <w:pPr>
        <w:ind w:left="360" w:hanging="360"/>
      </w:pPr>
      <w:rPr>
        <w:rFonts w:hint="default"/>
        <w:color w:val="4472C4" w:themeColor="accent1"/>
        <w:sz w:val="22"/>
      </w:rPr>
    </w:lvl>
    <w:lvl w:ilvl="1">
      <w:start w:val="1"/>
      <w:numFmt w:val="bullet"/>
      <w:lvlText w:val="-"/>
      <w:lvlJc w:val="left"/>
      <w:pPr>
        <w:ind w:left="1440" w:hanging="360"/>
      </w:pPr>
      <w:rPr>
        <w:rFonts w:ascii="Cambria" w:eastAsia="Times New Roman" w:hAnsi="Cambria" w:cs="Apple Color Emoji" w:hint="default"/>
      </w:rPr>
    </w:lvl>
    <w:lvl w:ilvl="2">
      <w:start w:val="1"/>
      <w:numFmt w:val="lowerRoman"/>
      <w:lvlText w:val="%3."/>
      <w:lvlJc w:val="right"/>
      <w:pPr>
        <w:ind w:left="2160" w:hanging="180"/>
      </w:pPr>
    </w:lvl>
    <w:lvl w:ilvl="3">
      <w:start w:val="1"/>
      <w:numFmt w:val="bullet"/>
      <w:lvlText w:val="-"/>
      <w:lvlJc w:val="left"/>
      <w:pPr>
        <w:ind w:left="2880" w:hanging="360"/>
      </w:pPr>
      <w:rPr>
        <w:rFonts w:ascii="Calibri Light" w:eastAsia="Times New Roman" w:hAnsi="Calibri Light" w:cs="Calibri Light"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0B21D05"/>
    <w:multiLevelType w:val="hybridMultilevel"/>
    <w:tmpl w:val="116CA1B2"/>
    <w:lvl w:ilvl="0" w:tplc="B54E0BB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0BD55AC"/>
    <w:multiLevelType w:val="hybridMultilevel"/>
    <w:tmpl w:val="ED7EA530"/>
    <w:lvl w:ilvl="0" w:tplc="B54E0BBC">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1895483"/>
    <w:multiLevelType w:val="hybridMultilevel"/>
    <w:tmpl w:val="93441D1E"/>
    <w:lvl w:ilvl="0" w:tplc="FFFFFFFF">
      <w:start w:val="1"/>
      <w:numFmt w:val="decimal"/>
      <w:lvlText w:val="%1."/>
      <w:lvlJc w:val="left"/>
      <w:pPr>
        <w:ind w:left="360" w:hanging="360"/>
      </w:pPr>
      <w:rPr>
        <w:rFonts w:hint="default"/>
        <w:color w:val="4472C4"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736A7A5F"/>
    <w:multiLevelType w:val="hybridMultilevel"/>
    <w:tmpl w:val="B5982E6A"/>
    <w:lvl w:ilvl="0" w:tplc="B54E0BBC">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6821862"/>
    <w:multiLevelType w:val="hybridMultilevel"/>
    <w:tmpl w:val="F6748098"/>
    <w:lvl w:ilvl="0" w:tplc="DC589BF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89E0654"/>
    <w:multiLevelType w:val="hybridMultilevel"/>
    <w:tmpl w:val="FBB62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9FC79DB"/>
    <w:multiLevelType w:val="hybridMultilevel"/>
    <w:tmpl w:val="C3BEEFDA"/>
    <w:lvl w:ilvl="0" w:tplc="FDBEEB1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FEDE4088">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BC512CE"/>
    <w:multiLevelType w:val="hybridMultilevel"/>
    <w:tmpl w:val="2EBEA8CE"/>
    <w:lvl w:ilvl="0" w:tplc="B54E0BBC">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9E1D26"/>
    <w:multiLevelType w:val="hybridMultilevel"/>
    <w:tmpl w:val="FE28C8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CC31E10"/>
    <w:multiLevelType w:val="hybridMultilevel"/>
    <w:tmpl w:val="0C30EB2A"/>
    <w:lvl w:ilvl="0" w:tplc="F3B4000C">
      <w:start w:val="1"/>
      <w:numFmt w:val="bullet"/>
      <w:lvlText w:val="-"/>
      <w:lvlJc w:val="left"/>
      <w:pPr>
        <w:ind w:left="720" w:hanging="360"/>
      </w:pPr>
      <w:rPr>
        <w:rFonts w:ascii="Cambria" w:eastAsia="Times New Roman" w:hAnsi="Cambria" w:cs="Apple Color Emoj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D56127B"/>
    <w:multiLevelType w:val="hybridMultilevel"/>
    <w:tmpl w:val="3416B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D6C7194"/>
    <w:multiLevelType w:val="hybridMultilevel"/>
    <w:tmpl w:val="01C07D90"/>
    <w:lvl w:ilvl="0" w:tplc="7248B656">
      <w:start w:val="1"/>
      <w:numFmt w:val="bullet"/>
      <w:lvlText w:val="-"/>
      <w:lvlJc w:val="left"/>
      <w:pPr>
        <w:ind w:left="36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F6C2697"/>
    <w:multiLevelType w:val="hybridMultilevel"/>
    <w:tmpl w:val="45680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4627148">
    <w:abstractNumId w:val="35"/>
  </w:num>
  <w:num w:numId="2" w16cid:durableId="1246184020">
    <w:abstractNumId w:val="51"/>
  </w:num>
  <w:num w:numId="3" w16cid:durableId="1582326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3466164">
    <w:abstractNumId w:val="79"/>
  </w:num>
  <w:num w:numId="5" w16cid:durableId="1819608075">
    <w:abstractNumId w:val="45"/>
  </w:num>
  <w:num w:numId="6" w16cid:durableId="1646543904">
    <w:abstractNumId w:val="40"/>
  </w:num>
  <w:num w:numId="7" w16cid:durableId="797991070">
    <w:abstractNumId w:val="42"/>
  </w:num>
  <w:num w:numId="8" w16cid:durableId="712585007">
    <w:abstractNumId w:val="74"/>
  </w:num>
  <w:num w:numId="9" w16cid:durableId="1009481558">
    <w:abstractNumId w:val="55"/>
  </w:num>
  <w:num w:numId="10" w16cid:durableId="204417682">
    <w:abstractNumId w:val="52"/>
  </w:num>
  <w:num w:numId="11" w16cid:durableId="117340834">
    <w:abstractNumId w:val="27"/>
  </w:num>
  <w:num w:numId="12" w16cid:durableId="1639148907">
    <w:abstractNumId w:val="1"/>
  </w:num>
  <w:num w:numId="13" w16cid:durableId="990912223">
    <w:abstractNumId w:val="9"/>
  </w:num>
  <w:num w:numId="14" w16cid:durableId="905845461">
    <w:abstractNumId w:val="7"/>
  </w:num>
  <w:num w:numId="15" w16cid:durableId="367341769">
    <w:abstractNumId w:val="49"/>
  </w:num>
  <w:num w:numId="16" w16cid:durableId="1158031514">
    <w:abstractNumId w:val="50"/>
  </w:num>
  <w:num w:numId="17" w16cid:durableId="122618902">
    <w:abstractNumId w:val="91"/>
  </w:num>
  <w:num w:numId="18" w16cid:durableId="770783622">
    <w:abstractNumId w:val="89"/>
  </w:num>
  <w:num w:numId="19" w16cid:durableId="739061468">
    <w:abstractNumId w:val="80"/>
  </w:num>
  <w:num w:numId="20" w16cid:durableId="1972437860">
    <w:abstractNumId w:val="38"/>
  </w:num>
  <w:num w:numId="21" w16cid:durableId="66198022">
    <w:abstractNumId w:val="47"/>
  </w:num>
  <w:num w:numId="22" w16cid:durableId="1033312769">
    <w:abstractNumId w:val="20"/>
  </w:num>
  <w:num w:numId="23" w16cid:durableId="603075300">
    <w:abstractNumId w:val="21"/>
  </w:num>
  <w:num w:numId="24" w16cid:durableId="444008073">
    <w:abstractNumId w:val="31"/>
  </w:num>
  <w:num w:numId="25" w16cid:durableId="2016806814">
    <w:abstractNumId w:val="87"/>
  </w:num>
  <w:num w:numId="26" w16cid:durableId="1223250880">
    <w:abstractNumId w:val="10"/>
  </w:num>
  <w:num w:numId="27" w16cid:durableId="1289360064">
    <w:abstractNumId w:val="94"/>
  </w:num>
  <w:num w:numId="28" w16cid:durableId="1017925977">
    <w:abstractNumId w:val="22"/>
  </w:num>
  <w:num w:numId="29" w16cid:durableId="253394097">
    <w:abstractNumId w:val="83"/>
  </w:num>
  <w:num w:numId="30" w16cid:durableId="13265432">
    <w:abstractNumId w:val="69"/>
  </w:num>
  <w:num w:numId="31" w16cid:durableId="886450281">
    <w:abstractNumId w:val="2"/>
  </w:num>
  <w:num w:numId="32" w16cid:durableId="1670256666">
    <w:abstractNumId w:val="54"/>
  </w:num>
  <w:num w:numId="33" w16cid:durableId="166212574">
    <w:abstractNumId w:val="25"/>
  </w:num>
  <w:num w:numId="34" w16cid:durableId="1393654483">
    <w:abstractNumId w:val="41"/>
  </w:num>
  <w:num w:numId="35" w16cid:durableId="1878816159">
    <w:abstractNumId w:val="29"/>
  </w:num>
  <w:num w:numId="36" w16cid:durableId="479885512">
    <w:abstractNumId w:val="65"/>
  </w:num>
  <w:num w:numId="37" w16cid:durableId="1880622505">
    <w:abstractNumId w:val="73"/>
  </w:num>
  <w:num w:numId="38" w16cid:durableId="1987514558">
    <w:abstractNumId w:val="86"/>
  </w:num>
  <w:num w:numId="39" w16cid:durableId="2081363798">
    <w:abstractNumId w:val="15"/>
  </w:num>
  <w:num w:numId="40" w16cid:durableId="472791461">
    <w:abstractNumId w:val="53"/>
  </w:num>
  <w:num w:numId="41" w16cid:durableId="1510637224">
    <w:abstractNumId w:val="61"/>
  </w:num>
  <w:num w:numId="42" w16cid:durableId="241917987">
    <w:abstractNumId w:val="68"/>
  </w:num>
  <w:num w:numId="43" w16cid:durableId="37751220">
    <w:abstractNumId w:val="92"/>
  </w:num>
  <w:num w:numId="44" w16cid:durableId="1072701821">
    <w:abstractNumId w:val="85"/>
  </w:num>
  <w:num w:numId="45" w16cid:durableId="1700660524">
    <w:abstractNumId w:val="11"/>
  </w:num>
  <w:num w:numId="46" w16cid:durableId="774328107">
    <w:abstractNumId w:val="24"/>
  </w:num>
  <w:num w:numId="47" w16cid:durableId="49716058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5499913">
    <w:abstractNumId w:val="78"/>
  </w:num>
  <w:num w:numId="49" w16cid:durableId="2014139692">
    <w:abstractNumId w:val="81"/>
  </w:num>
  <w:num w:numId="50" w16cid:durableId="1638030294">
    <w:abstractNumId w:val="93"/>
  </w:num>
  <w:num w:numId="51" w16cid:durableId="558904061">
    <w:abstractNumId w:val="66"/>
  </w:num>
  <w:num w:numId="52" w16cid:durableId="892739599">
    <w:abstractNumId w:val="13"/>
  </w:num>
  <w:num w:numId="53" w16cid:durableId="783427009">
    <w:abstractNumId w:val="5"/>
  </w:num>
  <w:num w:numId="54" w16cid:durableId="1554387508">
    <w:abstractNumId w:val="19"/>
  </w:num>
  <w:num w:numId="55" w16cid:durableId="259414821">
    <w:abstractNumId w:val="60"/>
  </w:num>
  <w:num w:numId="56" w16cid:durableId="61299656">
    <w:abstractNumId w:val="46"/>
  </w:num>
  <w:num w:numId="57" w16cid:durableId="221335027">
    <w:abstractNumId w:val="39"/>
  </w:num>
  <w:num w:numId="58" w16cid:durableId="640161365">
    <w:abstractNumId w:val="96"/>
  </w:num>
  <w:num w:numId="59" w16cid:durableId="325982921">
    <w:abstractNumId w:val="62"/>
  </w:num>
  <w:num w:numId="60" w16cid:durableId="1514026470">
    <w:abstractNumId w:val="3"/>
  </w:num>
  <w:num w:numId="61" w16cid:durableId="1885290689">
    <w:abstractNumId w:val="84"/>
  </w:num>
  <w:num w:numId="62" w16cid:durableId="1787430734">
    <w:abstractNumId w:val="72"/>
  </w:num>
  <w:num w:numId="63" w16cid:durableId="184292622">
    <w:abstractNumId w:val="0"/>
  </w:num>
  <w:num w:numId="64" w16cid:durableId="1995796049">
    <w:abstractNumId w:val="6"/>
  </w:num>
  <w:num w:numId="65" w16cid:durableId="358896467">
    <w:abstractNumId w:val="82"/>
  </w:num>
  <w:num w:numId="66" w16cid:durableId="1885409382">
    <w:abstractNumId w:val="57"/>
  </w:num>
  <w:num w:numId="67" w16cid:durableId="1513295286">
    <w:abstractNumId w:val="36"/>
  </w:num>
  <w:num w:numId="68" w16cid:durableId="339502958">
    <w:abstractNumId w:val="44"/>
  </w:num>
  <w:num w:numId="69" w16cid:durableId="852306149">
    <w:abstractNumId w:val="16"/>
  </w:num>
  <w:num w:numId="70" w16cid:durableId="2129812169">
    <w:abstractNumId w:val="28"/>
  </w:num>
  <w:num w:numId="71" w16cid:durableId="1378355249">
    <w:abstractNumId w:val="56"/>
  </w:num>
  <w:num w:numId="72" w16cid:durableId="1952474414">
    <w:abstractNumId w:val="88"/>
  </w:num>
  <w:num w:numId="73" w16cid:durableId="35156955">
    <w:abstractNumId w:val="76"/>
  </w:num>
  <w:num w:numId="74" w16cid:durableId="992834503">
    <w:abstractNumId w:val="51"/>
  </w:num>
  <w:num w:numId="75" w16cid:durableId="869293630">
    <w:abstractNumId w:val="37"/>
  </w:num>
  <w:num w:numId="76" w16cid:durableId="57286138">
    <w:abstractNumId w:val="34"/>
  </w:num>
  <w:num w:numId="77" w16cid:durableId="1797142038">
    <w:abstractNumId w:val="26"/>
  </w:num>
  <w:num w:numId="78" w16cid:durableId="1125076543">
    <w:abstractNumId w:val="51"/>
  </w:num>
  <w:num w:numId="79" w16cid:durableId="1990746064">
    <w:abstractNumId w:val="51"/>
  </w:num>
  <w:num w:numId="80" w16cid:durableId="1957905774">
    <w:abstractNumId w:val="51"/>
  </w:num>
  <w:num w:numId="81" w16cid:durableId="1585188549">
    <w:abstractNumId w:val="51"/>
  </w:num>
  <w:num w:numId="82" w16cid:durableId="198586281">
    <w:abstractNumId w:val="51"/>
  </w:num>
  <w:num w:numId="83" w16cid:durableId="194542462">
    <w:abstractNumId w:val="51"/>
  </w:num>
  <w:num w:numId="84" w16cid:durableId="709719749">
    <w:abstractNumId w:val="51"/>
  </w:num>
  <w:num w:numId="85" w16cid:durableId="29838769">
    <w:abstractNumId w:val="51"/>
  </w:num>
  <w:num w:numId="86" w16cid:durableId="2003311101">
    <w:abstractNumId w:val="51"/>
  </w:num>
  <w:num w:numId="87" w16cid:durableId="482502988">
    <w:abstractNumId w:val="51"/>
  </w:num>
  <w:num w:numId="88" w16cid:durableId="1551453075">
    <w:abstractNumId w:val="8"/>
  </w:num>
  <w:num w:numId="89" w16cid:durableId="1486045359">
    <w:abstractNumId w:val="33"/>
  </w:num>
  <w:num w:numId="90" w16cid:durableId="85737498">
    <w:abstractNumId w:val="75"/>
  </w:num>
  <w:num w:numId="91" w16cid:durableId="196285864">
    <w:abstractNumId w:val="4"/>
  </w:num>
  <w:num w:numId="92" w16cid:durableId="1904175390">
    <w:abstractNumId w:val="90"/>
  </w:num>
  <w:num w:numId="93" w16cid:durableId="1095394370">
    <w:abstractNumId w:val="95"/>
  </w:num>
  <w:num w:numId="94" w16cid:durableId="1755394421">
    <w:abstractNumId w:val="97"/>
  </w:num>
  <w:num w:numId="95" w16cid:durableId="764156498">
    <w:abstractNumId w:val="18"/>
  </w:num>
  <w:num w:numId="96" w16cid:durableId="878930914">
    <w:abstractNumId w:val="14"/>
  </w:num>
  <w:num w:numId="97" w16cid:durableId="2128547867">
    <w:abstractNumId w:val="59"/>
  </w:num>
  <w:num w:numId="98" w16cid:durableId="1715693425">
    <w:abstractNumId w:val="32"/>
  </w:num>
  <w:num w:numId="99" w16cid:durableId="1078210307">
    <w:abstractNumId w:val="43"/>
  </w:num>
  <w:num w:numId="100" w16cid:durableId="1098988783">
    <w:abstractNumId w:val="58"/>
  </w:num>
  <w:num w:numId="101" w16cid:durableId="1634369001">
    <w:abstractNumId w:val="23"/>
  </w:num>
  <w:num w:numId="102" w16cid:durableId="705299673">
    <w:abstractNumId w:val="48"/>
  </w:num>
  <w:num w:numId="103" w16cid:durableId="594896386">
    <w:abstractNumId w:val="71"/>
  </w:num>
  <w:num w:numId="104" w16cid:durableId="361907624">
    <w:abstractNumId w:val="12"/>
  </w:num>
  <w:num w:numId="105" w16cid:durableId="2041391316">
    <w:abstractNumId w:val="17"/>
  </w:num>
  <w:num w:numId="106" w16cid:durableId="2007125352">
    <w:abstractNumId w:val="70"/>
  </w:num>
  <w:num w:numId="107" w16cid:durableId="153495028">
    <w:abstractNumId w:val="67"/>
  </w:num>
  <w:num w:numId="108" w16cid:durableId="452332062">
    <w:abstractNumId w:val="30"/>
  </w:num>
  <w:num w:numId="109" w16cid:durableId="241109841">
    <w:abstractNumId w:val="64"/>
  </w:num>
  <w:num w:numId="110" w16cid:durableId="1327249346">
    <w:abstractNumId w:val="6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DCE"/>
    <w:rsid w:val="0000003A"/>
    <w:rsid w:val="000000FC"/>
    <w:rsid w:val="0000014F"/>
    <w:rsid w:val="00000224"/>
    <w:rsid w:val="000002E4"/>
    <w:rsid w:val="000004CD"/>
    <w:rsid w:val="0000084B"/>
    <w:rsid w:val="00000905"/>
    <w:rsid w:val="0000090A"/>
    <w:rsid w:val="00000A90"/>
    <w:rsid w:val="00000C29"/>
    <w:rsid w:val="00000CCC"/>
    <w:rsid w:val="0000105D"/>
    <w:rsid w:val="000013F0"/>
    <w:rsid w:val="0000188B"/>
    <w:rsid w:val="00001AAD"/>
    <w:rsid w:val="00001B40"/>
    <w:rsid w:val="00001DD7"/>
    <w:rsid w:val="00001E37"/>
    <w:rsid w:val="00001FED"/>
    <w:rsid w:val="00002416"/>
    <w:rsid w:val="000025B0"/>
    <w:rsid w:val="000027D4"/>
    <w:rsid w:val="000027E8"/>
    <w:rsid w:val="000028D4"/>
    <w:rsid w:val="000033C2"/>
    <w:rsid w:val="00003520"/>
    <w:rsid w:val="000035D2"/>
    <w:rsid w:val="000036F0"/>
    <w:rsid w:val="00003BF6"/>
    <w:rsid w:val="00003CA2"/>
    <w:rsid w:val="00003CD6"/>
    <w:rsid w:val="00003D3C"/>
    <w:rsid w:val="00003EB4"/>
    <w:rsid w:val="00003FF4"/>
    <w:rsid w:val="00003FFC"/>
    <w:rsid w:val="000044F6"/>
    <w:rsid w:val="00004E5D"/>
    <w:rsid w:val="00004E77"/>
    <w:rsid w:val="000054EA"/>
    <w:rsid w:val="00005627"/>
    <w:rsid w:val="000056D3"/>
    <w:rsid w:val="00005989"/>
    <w:rsid w:val="00005A68"/>
    <w:rsid w:val="00005CA7"/>
    <w:rsid w:val="000060A3"/>
    <w:rsid w:val="000062A4"/>
    <w:rsid w:val="00006519"/>
    <w:rsid w:val="00006566"/>
    <w:rsid w:val="00006695"/>
    <w:rsid w:val="0000681E"/>
    <w:rsid w:val="00006BA3"/>
    <w:rsid w:val="00006DA7"/>
    <w:rsid w:val="000071C8"/>
    <w:rsid w:val="00007235"/>
    <w:rsid w:val="00007236"/>
    <w:rsid w:val="0000734B"/>
    <w:rsid w:val="000073B2"/>
    <w:rsid w:val="00007541"/>
    <w:rsid w:val="00007614"/>
    <w:rsid w:val="00007763"/>
    <w:rsid w:val="000078E9"/>
    <w:rsid w:val="0001002F"/>
    <w:rsid w:val="00010031"/>
    <w:rsid w:val="00010078"/>
    <w:rsid w:val="000100F8"/>
    <w:rsid w:val="00010242"/>
    <w:rsid w:val="00010663"/>
    <w:rsid w:val="00010727"/>
    <w:rsid w:val="00010730"/>
    <w:rsid w:val="000109D9"/>
    <w:rsid w:val="00010A0B"/>
    <w:rsid w:val="00010CAD"/>
    <w:rsid w:val="00010E73"/>
    <w:rsid w:val="000111A5"/>
    <w:rsid w:val="000112EC"/>
    <w:rsid w:val="00011430"/>
    <w:rsid w:val="000117F8"/>
    <w:rsid w:val="00011865"/>
    <w:rsid w:val="000118C4"/>
    <w:rsid w:val="00011908"/>
    <w:rsid w:val="00011C45"/>
    <w:rsid w:val="00011C4A"/>
    <w:rsid w:val="00011C63"/>
    <w:rsid w:val="00011DCC"/>
    <w:rsid w:val="00011E5F"/>
    <w:rsid w:val="00011F8A"/>
    <w:rsid w:val="00012029"/>
    <w:rsid w:val="00012137"/>
    <w:rsid w:val="00012225"/>
    <w:rsid w:val="00012256"/>
    <w:rsid w:val="00012493"/>
    <w:rsid w:val="00012672"/>
    <w:rsid w:val="00012B4D"/>
    <w:rsid w:val="00012E26"/>
    <w:rsid w:val="00012E3C"/>
    <w:rsid w:val="00012E79"/>
    <w:rsid w:val="00013317"/>
    <w:rsid w:val="00013398"/>
    <w:rsid w:val="00013413"/>
    <w:rsid w:val="00013585"/>
    <w:rsid w:val="00013670"/>
    <w:rsid w:val="00013945"/>
    <w:rsid w:val="0001398C"/>
    <w:rsid w:val="000139E5"/>
    <w:rsid w:val="00014071"/>
    <w:rsid w:val="00014196"/>
    <w:rsid w:val="0001449D"/>
    <w:rsid w:val="000144FC"/>
    <w:rsid w:val="00014592"/>
    <w:rsid w:val="00014662"/>
    <w:rsid w:val="000148BD"/>
    <w:rsid w:val="00014CCA"/>
    <w:rsid w:val="00014EC8"/>
    <w:rsid w:val="00015235"/>
    <w:rsid w:val="000156C0"/>
    <w:rsid w:val="00015A24"/>
    <w:rsid w:val="00015B92"/>
    <w:rsid w:val="00015C55"/>
    <w:rsid w:val="00016071"/>
    <w:rsid w:val="00016602"/>
    <w:rsid w:val="00016BE2"/>
    <w:rsid w:val="000172B3"/>
    <w:rsid w:val="000172D4"/>
    <w:rsid w:val="00017415"/>
    <w:rsid w:val="0001747E"/>
    <w:rsid w:val="0001762B"/>
    <w:rsid w:val="0001763B"/>
    <w:rsid w:val="000179DC"/>
    <w:rsid w:val="00020095"/>
    <w:rsid w:val="0002064E"/>
    <w:rsid w:val="00020750"/>
    <w:rsid w:val="00020832"/>
    <w:rsid w:val="00020A6C"/>
    <w:rsid w:val="000213B7"/>
    <w:rsid w:val="00021591"/>
    <w:rsid w:val="000217ED"/>
    <w:rsid w:val="0002185B"/>
    <w:rsid w:val="00021A1F"/>
    <w:rsid w:val="00021A21"/>
    <w:rsid w:val="00021A2F"/>
    <w:rsid w:val="00021C04"/>
    <w:rsid w:val="000220CD"/>
    <w:rsid w:val="000226C2"/>
    <w:rsid w:val="000229B4"/>
    <w:rsid w:val="00022A8C"/>
    <w:rsid w:val="00022C1E"/>
    <w:rsid w:val="00022C3E"/>
    <w:rsid w:val="00022C64"/>
    <w:rsid w:val="00022C92"/>
    <w:rsid w:val="000230BD"/>
    <w:rsid w:val="0002316E"/>
    <w:rsid w:val="000232F3"/>
    <w:rsid w:val="0002331E"/>
    <w:rsid w:val="000233F0"/>
    <w:rsid w:val="000234D6"/>
    <w:rsid w:val="00023564"/>
    <w:rsid w:val="00023757"/>
    <w:rsid w:val="00023827"/>
    <w:rsid w:val="000238B4"/>
    <w:rsid w:val="00023ABA"/>
    <w:rsid w:val="00023AFA"/>
    <w:rsid w:val="00023BF0"/>
    <w:rsid w:val="00023CB9"/>
    <w:rsid w:val="00023DEB"/>
    <w:rsid w:val="00023E58"/>
    <w:rsid w:val="00023EC5"/>
    <w:rsid w:val="00023F3B"/>
    <w:rsid w:val="000240E7"/>
    <w:rsid w:val="00024260"/>
    <w:rsid w:val="000243C3"/>
    <w:rsid w:val="0002472F"/>
    <w:rsid w:val="00024900"/>
    <w:rsid w:val="00024C20"/>
    <w:rsid w:val="00024E04"/>
    <w:rsid w:val="00024EB5"/>
    <w:rsid w:val="0002508C"/>
    <w:rsid w:val="00025566"/>
    <w:rsid w:val="00025786"/>
    <w:rsid w:val="0002588D"/>
    <w:rsid w:val="00025A47"/>
    <w:rsid w:val="00025BD0"/>
    <w:rsid w:val="00025DD1"/>
    <w:rsid w:val="00025E3E"/>
    <w:rsid w:val="000260F7"/>
    <w:rsid w:val="00026363"/>
    <w:rsid w:val="00026468"/>
    <w:rsid w:val="000265E7"/>
    <w:rsid w:val="0002670B"/>
    <w:rsid w:val="00026887"/>
    <w:rsid w:val="000268F5"/>
    <w:rsid w:val="000268FC"/>
    <w:rsid w:val="00026972"/>
    <w:rsid w:val="00026B36"/>
    <w:rsid w:val="00026BC5"/>
    <w:rsid w:val="00026D0A"/>
    <w:rsid w:val="00026E42"/>
    <w:rsid w:val="00027059"/>
    <w:rsid w:val="00027344"/>
    <w:rsid w:val="000275A9"/>
    <w:rsid w:val="0002760C"/>
    <w:rsid w:val="000276B8"/>
    <w:rsid w:val="00027800"/>
    <w:rsid w:val="000279D8"/>
    <w:rsid w:val="00027A03"/>
    <w:rsid w:val="00027AB0"/>
    <w:rsid w:val="00027B0C"/>
    <w:rsid w:val="00027C0F"/>
    <w:rsid w:val="00027D56"/>
    <w:rsid w:val="00027EC5"/>
    <w:rsid w:val="00027EC6"/>
    <w:rsid w:val="00027F7A"/>
    <w:rsid w:val="00027F84"/>
    <w:rsid w:val="000300D9"/>
    <w:rsid w:val="00030153"/>
    <w:rsid w:val="00030365"/>
    <w:rsid w:val="000303BA"/>
    <w:rsid w:val="0003046B"/>
    <w:rsid w:val="000307C5"/>
    <w:rsid w:val="00030958"/>
    <w:rsid w:val="00030B47"/>
    <w:rsid w:val="00030B75"/>
    <w:rsid w:val="00030E9B"/>
    <w:rsid w:val="000311C0"/>
    <w:rsid w:val="000311CE"/>
    <w:rsid w:val="00031207"/>
    <w:rsid w:val="0003129F"/>
    <w:rsid w:val="0003146D"/>
    <w:rsid w:val="0003154E"/>
    <w:rsid w:val="0003168B"/>
    <w:rsid w:val="00031735"/>
    <w:rsid w:val="0003183B"/>
    <w:rsid w:val="00031871"/>
    <w:rsid w:val="00031A52"/>
    <w:rsid w:val="00031C2A"/>
    <w:rsid w:val="00031F06"/>
    <w:rsid w:val="00031F38"/>
    <w:rsid w:val="0003207F"/>
    <w:rsid w:val="00032145"/>
    <w:rsid w:val="0003229D"/>
    <w:rsid w:val="000324B4"/>
    <w:rsid w:val="000327B1"/>
    <w:rsid w:val="00032940"/>
    <w:rsid w:val="00032D67"/>
    <w:rsid w:val="00032D74"/>
    <w:rsid w:val="00032EF6"/>
    <w:rsid w:val="00032F72"/>
    <w:rsid w:val="00032FF3"/>
    <w:rsid w:val="000330D8"/>
    <w:rsid w:val="00033208"/>
    <w:rsid w:val="00033250"/>
    <w:rsid w:val="0003330F"/>
    <w:rsid w:val="000334C7"/>
    <w:rsid w:val="000334EF"/>
    <w:rsid w:val="000339DC"/>
    <w:rsid w:val="00033BFB"/>
    <w:rsid w:val="00033C74"/>
    <w:rsid w:val="00033E0C"/>
    <w:rsid w:val="000340FF"/>
    <w:rsid w:val="000343FE"/>
    <w:rsid w:val="00034504"/>
    <w:rsid w:val="00034650"/>
    <w:rsid w:val="00034811"/>
    <w:rsid w:val="00034BFA"/>
    <w:rsid w:val="00034E67"/>
    <w:rsid w:val="000354F0"/>
    <w:rsid w:val="000355E7"/>
    <w:rsid w:val="00035D25"/>
    <w:rsid w:val="00035E88"/>
    <w:rsid w:val="00036765"/>
    <w:rsid w:val="000367C6"/>
    <w:rsid w:val="0003685F"/>
    <w:rsid w:val="000369B1"/>
    <w:rsid w:val="00036C9A"/>
    <w:rsid w:val="00036DEA"/>
    <w:rsid w:val="000370EA"/>
    <w:rsid w:val="000372C5"/>
    <w:rsid w:val="000372C7"/>
    <w:rsid w:val="000375A5"/>
    <w:rsid w:val="000375CC"/>
    <w:rsid w:val="0003791F"/>
    <w:rsid w:val="00037AE6"/>
    <w:rsid w:val="00037B4F"/>
    <w:rsid w:val="00037C63"/>
    <w:rsid w:val="00037E68"/>
    <w:rsid w:val="00037EE7"/>
    <w:rsid w:val="000402A7"/>
    <w:rsid w:val="00040409"/>
    <w:rsid w:val="00040472"/>
    <w:rsid w:val="00040A21"/>
    <w:rsid w:val="00040AAE"/>
    <w:rsid w:val="00040B32"/>
    <w:rsid w:val="00040C85"/>
    <w:rsid w:val="00040C8F"/>
    <w:rsid w:val="00040D6E"/>
    <w:rsid w:val="00040E82"/>
    <w:rsid w:val="00041143"/>
    <w:rsid w:val="00041493"/>
    <w:rsid w:val="000414FC"/>
    <w:rsid w:val="0004163D"/>
    <w:rsid w:val="00041911"/>
    <w:rsid w:val="0004192B"/>
    <w:rsid w:val="00041AEF"/>
    <w:rsid w:val="00041DA7"/>
    <w:rsid w:val="00041E05"/>
    <w:rsid w:val="00041F01"/>
    <w:rsid w:val="000423C0"/>
    <w:rsid w:val="0004252C"/>
    <w:rsid w:val="00042764"/>
    <w:rsid w:val="000428A2"/>
    <w:rsid w:val="000429B7"/>
    <w:rsid w:val="00042BC2"/>
    <w:rsid w:val="00042CBB"/>
    <w:rsid w:val="00042EDC"/>
    <w:rsid w:val="00042EF1"/>
    <w:rsid w:val="00042FD1"/>
    <w:rsid w:val="0004321B"/>
    <w:rsid w:val="000432D7"/>
    <w:rsid w:val="0004355C"/>
    <w:rsid w:val="0004367F"/>
    <w:rsid w:val="00043747"/>
    <w:rsid w:val="00043A2D"/>
    <w:rsid w:val="000443F7"/>
    <w:rsid w:val="000447FD"/>
    <w:rsid w:val="000448C3"/>
    <w:rsid w:val="00044B1D"/>
    <w:rsid w:val="00044E8E"/>
    <w:rsid w:val="00044ED0"/>
    <w:rsid w:val="000454EB"/>
    <w:rsid w:val="00045563"/>
    <w:rsid w:val="000455DC"/>
    <w:rsid w:val="000456B2"/>
    <w:rsid w:val="000456D7"/>
    <w:rsid w:val="00045994"/>
    <w:rsid w:val="00045E17"/>
    <w:rsid w:val="00045FAD"/>
    <w:rsid w:val="00046087"/>
    <w:rsid w:val="00046318"/>
    <w:rsid w:val="000463C4"/>
    <w:rsid w:val="0004674B"/>
    <w:rsid w:val="0004682E"/>
    <w:rsid w:val="0004689C"/>
    <w:rsid w:val="000469F7"/>
    <w:rsid w:val="00046AE1"/>
    <w:rsid w:val="00046BCF"/>
    <w:rsid w:val="00046C0A"/>
    <w:rsid w:val="00046EA1"/>
    <w:rsid w:val="00046F82"/>
    <w:rsid w:val="000471CF"/>
    <w:rsid w:val="0004749D"/>
    <w:rsid w:val="0004750B"/>
    <w:rsid w:val="0004758C"/>
    <w:rsid w:val="0004779D"/>
    <w:rsid w:val="000477A9"/>
    <w:rsid w:val="000478F2"/>
    <w:rsid w:val="00047B17"/>
    <w:rsid w:val="00047BF3"/>
    <w:rsid w:val="00047D74"/>
    <w:rsid w:val="0005005B"/>
    <w:rsid w:val="0005014B"/>
    <w:rsid w:val="000504F5"/>
    <w:rsid w:val="00050661"/>
    <w:rsid w:val="000506DF"/>
    <w:rsid w:val="0005072A"/>
    <w:rsid w:val="00050856"/>
    <w:rsid w:val="00050925"/>
    <w:rsid w:val="00050A6B"/>
    <w:rsid w:val="00050B8E"/>
    <w:rsid w:val="00050D5F"/>
    <w:rsid w:val="00051204"/>
    <w:rsid w:val="00051408"/>
    <w:rsid w:val="000514DE"/>
    <w:rsid w:val="00051520"/>
    <w:rsid w:val="00051532"/>
    <w:rsid w:val="00051607"/>
    <w:rsid w:val="00051617"/>
    <w:rsid w:val="00051661"/>
    <w:rsid w:val="00051878"/>
    <w:rsid w:val="000518AB"/>
    <w:rsid w:val="00051B2E"/>
    <w:rsid w:val="00051DC3"/>
    <w:rsid w:val="00051EF7"/>
    <w:rsid w:val="000521A8"/>
    <w:rsid w:val="000522AE"/>
    <w:rsid w:val="00052660"/>
    <w:rsid w:val="000527EA"/>
    <w:rsid w:val="0005282C"/>
    <w:rsid w:val="000528A9"/>
    <w:rsid w:val="00052A7B"/>
    <w:rsid w:val="00052ADF"/>
    <w:rsid w:val="00052AF8"/>
    <w:rsid w:val="00052DA1"/>
    <w:rsid w:val="00053137"/>
    <w:rsid w:val="000531B4"/>
    <w:rsid w:val="0005322B"/>
    <w:rsid w:val="000533C7"/>
    <w:rsid w:val="000536C5"/>
    <w:rsid w:val="00053A33"/>
    <w:rsid w:val="00053EC6"/>
    <w:rsid w:val="00053F62"/>
    <w:rsid w:val="0005403F"/>
    <w:rsid w:val="00054588"/>
    <w:rsid w:val="00054EB3"/>
    <w:rsid w:val="00055043"/>
    <w:rsid w:val="00055280"/>
    <w:rsid w:val="0005537C"/>
    <w:rsid w:val="0005579A"/>
    <w:rsid w:val="000558EF"/>
    <w:rsid w:val="000559AE"/>
    <w:rsid w:val="00055B30"/>
    <w:rsid w:val="00055C37"/>
    <w:rsid w:val="00055CF1"/>
    <w:rsid w:val="00055DEC"/>
    <w:rsid w:val="000561A2"/>
    <w:rsid w:val="000561C0"/>
    <w:rsid w:val="000563D8"/>
    <w:rsid w:val="00056482"/>
    <w:rsid w:val="000565A1"/>
    <w:rsid w:val="00056828"/>
    <w:rsid w:val="00056925"/>
    <w:rsid w:val="00056B16"/>
    <w:rsid w:val="00056B39"/>
    <w:rsid w:val="00056BB8"/>
    <w:rsid w:val="00056E77"/>
    <w:rsid w:val="00056F29"/>
    <w:rsid w:val="00056FC2"/>
    <w:rsid w:val="000571BF"/>
    <w:rsid w:val="00057737"/>
    <w:rsid w:val="0005789F"/>
    <w:rsid w:val="00057BA9"/>
    <w:rsid w:val="00060176"/>
    <w:rsid w:val="000604F5"/>
    <w:rsid w:val="00060B1D"/>
    <w:rsid w:val="00060BF3"/>
    <w:rsid w:val="00060C09"/>
    <w:rsid w:val="00060D19"/>
    <w:rsid w:val="00060EF7"/>
    <w:rsid w:val="000614C4"/>
    <w:rsid w:val="000617E2"/>
    <w:rsid w:val="00061B57"/>
    <w:rsid w:val="00061CD3"/>
    <w:rsid w:val="00061CE7"/>
    <w:rsid w:val="00061D03"/>
    <w:rsid w:val="00061E3B"/>
    <w:rsid w:val="00061E88"/>
    <w:rsid w:val="00061EEC"/>
    <w:rsid w:val="00061EF0"/>
    <w:rsid w:val="000620DC"/>
    <w:rsid w:val="00062458"/>
    <w:rsid w:val="000624A2"/>
    <w:rsid w:val="0006275E"/>
    <w:rsid w:val="000628C0"/>
    <w:rsid w:val="00062904"/>
    <w:rsid w:val="00062A52"/>
    <w:rsid w:val="00062BA1"/>
    <w:rsid w:val="00062BDA"/>
    <w:rsid w:val="00062D3C"/>
    <w:rsid w:val="00062DF9"/>
    <w:rsid w:val="00062F19"/>
    <w:rsid w:val="00062FC7"/>
    <w:rsid w:val="00063023"/>
    <w:rsid w:val="0006313A"/>
    <w:rsid w:val="00063310"/>
    <w:rsid w:val="0006336C"/>
    <w:rsid w:val="000633FC"/>
    <w:rsid w:val="00063848"/>
    <w:rsid w:val="00063CEE"/>
    <w:rsid w:val="00064047"/>
    <w:rsid w:val="000641DC"/>
    <w:rsid w:val="000642AD"/>
    <w:rsid w:val="000644E6"/>
    <w:rsid w:val="000646E6"/>
    <w:rsid w:val="00065128"/>
    <w:rsid w:val="000652B1"/>
    <w:rsid w:val="00065436"/>
    <w:rsid w:val="000656D3"/>
    <w:rsid w:val="0006572C"/>
    <w:rsid w:val="00065B4C"/>
    <w:rsid w:val="00065B74"/>
    <w:rsid w:val="00065C8D"/>
    <w:rsid w:val="0006608D"/>
    <w:rsid w:val="0006680D"/>
    <w:rsid w:val="000669CE"/>
    <w:rsid w:val="00066DFC"/>
    <w:rsid w:val="00067758"/>
    <w:rsid w:val="00067773"/>
    <w:rsid w:val="000678A2"/>
    <w:rsid w:val="00067C33"/>
    <w:rsid w:val="00067F36"/>
    <w:rsid w:val="00067F60"/>
    <w:rsid w:val="00067FF4"/>
    <w:rsid w:val="000701D8"/>
    <w:rsid w:val="00070374"/>
    <w:rsid w:val="0007051B"/>
    <w:rsid w:val="00070809"/>
    <w:rsid w:val="000709C3"/>
    <w:rsid w:val="00070AB7"/>
    <w:rsid w:val="00070B59"/>
    <w:rsid w:val="00070C22"/>
    <w:rsid w:val="00070E08"/>
    <w:rsid w:val="00071213"/>
    <w:rsid w:val="00071217"/>
    <w:rsid w:val="0007131C"/>
    <w:rsid w:val="00071D5A"/>
    <w:rsid w:val="00071DCB"/>
    <w:rsid w:val="00072235"/>
    <w:rsid w:val="000722B6"/>
    <w:rsid w:val="000722BA"/>
    <w:rsid w:val="00072354"/>
    <w:rsid w:val="000725B3"/>
    <w:rsid w:val="00072AB6"/>
    <w:rsid w:val="00072C69"/>
    <w:rsid w:val="000732D4"/>
    <w:rsid w:val="0007333D"/>
    <w:rsid w:val="00073893"/>
    <w:rsid w:val="00073928"/>
    <w:rsid w:val="0007396B"/>
    <w:rsid w:val="00073CBE"/>
    <w:rsid w:val="00073D9B"/>
    <w:rsid w:val="00073E86"/>
    <w:rsid w:val="00074011"/>
    <w:rsid w:val="0007409F"/>
    <w:rsid w:val="0007410D"/>
    <w:rsid w:val="00074260"/>
    <w:rsid w:val="000746C0"/>
    <w:rsid w:val="000746D7"/>
    <w:rsid w:val="000746EA"/>
    <w:rsid w:val="000747C9"/>
    <w:rsid w:val="00074C64"/>
    <w:rsid w:val="00074CC5"/>
    <w:rsid w:val="00074E98"/>
    <w:rsid w:val="000754B3"/>
    <w:rsid w:val="0007552A"/>
    <w:rsid w:val="000756D4"/>
    <w:rsid w:val="0007578D"/>
    <w:rsid w:val="0007584F"/>
    <w:rsid w:val="00075AE9"/>
    <w:rsid w:val="00075B20"/>
    <w:rsid w:val="00075C24"/>
    <w:rsid w:val="00075D6B"/>
    <w:rsid w:val="00075F7A"/>
    <w:rsid w:val="00076960"/>
    <w:rsid w:val="000769AF"/>
    <w:rsid w:val="000769F9"/>
    <w:rsid w:val="00077003"/>
    <w:rsid w:val="0007708E"/>
    <w:rsid w:val="0007726F"/>
    <w:rsid w:val="00077278"/>
    <w:rsid w:val="00077323"/>
    <w:rsid w:val="000775A1"/>
    <w:rsid w:val="00077715"/>
    <w:rsid w:val="000778B4"/>
    <w:rsid w:val="00077A0E"/>
    <w:rsid w:val="00077A11"/>
    <w:rsid w:val="00077A9C"/>
    <w:rsid w:val="00077B4A"/>
    <w:rsid w:val="00077B76"/>
    <w:rsid w:val="000800CE"/>
    <w:rsid w:val="00080114"/>
    <w:rsid w:val="00080201"/>
    <w:rsid w:val="000802B3"/>
    <w:rsid w:val="000804F5"/>
    <w:rsid w:val="000805E1"/>
    <w:rsid w:val="00080992"/>
    <w:rsid w:val="00080D2C"/>
    <w:rsid w:val="00080D8B"/>
    <w:rsid w:val="00080ED4"/>
    <w:rsid w:val="00080F9D"/>
    <w:rsid w:val="00080FFC"/>
    <w:rsid w:val="0008119F"/>
    <w:rsid w:val="00081440"/>
    <w:rsid w:val="000815F2"/>
    <w:rsid w:val="00081B30"/>
    <w:rsid w:val="00081B67"/>
    <w:rsid w:val="0008206D"/>
    <w:rsid w:val="00082226"/>
    <w:rsid w:val="000824C2"/>
    <w:rsid w:val="0008257E"/>
    <w:rsid w:val="000825A8"/>
    <w:rsid w:val="00082DF8"/>
    <w:rsid w:val="00082F5D"/>
    <w:rsid w:val="000830D4"/>
    <w:rsid w:val="0008314E"/>
    <w:rsid w:val="00083274"/>
    <w:rsid w:val="00083728"/>
    <w:rsid w:val="00083736"/>
    <w:rsid w:val="00083886"/>
    <w:rsid w:val="00083941"/>
    <w:rsid w:val="0008399A"/>
    <w:rsid w:val="00083ADA"/>
    <w:rsid w:val="00083E44"/>
    <w:rsid w:val="00083F21"/>
    <w:rsid w:val="0008403C"/>
    <w:rsid w:val="0008406D"/>
    <w:rsid w:val="0008416E"/>
    <w:rsid w:val="000841DF"/>
    <w:rsid w:val="000842C8"/>
    <w:rsid w:val="0008437F"/>
    <w:rsid w:val="00084784"/>
    <w:rsid w:val="00084A97"/>
    <w:rsid w:val="00085044"/>
    <w:rsid w:val="000850C9"/>
    <w:rsid w:val="0008543E"/>
    <w:rsid w:val="000854ED"/>
    <w:rsid w:val="00085A3D"/>
    <w:rsid w:val="00085BFA"/>
    <w:rsid w:val="00085C0C"/>
    <w:rsid w:val="00085C56"/>
    <w:rsid w:val="00085C5C"/>
    <w:rsid w:val="00085CE7"/>
    <w:rsid w:val="00085ED4"/>
    <w:rsid w:val="00085FBE"/>
    <w:rsid w:val="0008651B"/>
    <w:rsid w:val="00086903"/>
    <w:rsid w:val="00086927"/>
    <w:rsid w:val="00086AD7"/>
    <w:rsid w:val="00086EA1"/>
    <w:rsid w:val="000871CA"/>
    <w:rsid w:val="00087854"/>
    <w:rsid w:val="00087A14"/>
    <w:rsid w:val="00087AB5"/>
    <w:rsid w:val="00087BA3"/>
    <w:rsid w:val="00087BC5"/>
    <w:rsid w:val="00087D39"/>
    <w:rsid w:val="00087EC8"/>
    <w:rsid w:val="00087F08"/>
    <w:rsid w:val="0009009D"/>
    <w:rsid w:val="00090120"/>
    <w:rsid w:val="0009015E"/>
    <w:rsid w:val="000901BF"/>
    <w:rsid w:val="000902B1"/>
    <w:rsid w:val="000903B4"/>
    <w:rsid w:val="000905E6"/>
    <w:rsid w:val="00090601"/>
    <w:rsid w:val="0009061E"/>
    <w:rsid w:val="00090744"/>
    <w:rsid w:val="0009074E"/>
    <w:rsid w:val="0009091A"/>
    <w:rsid w:val="00090BC9"/>
    <w:rsid w:val="00090F42"/>
    <w:rsid w:val="00091017"/>
    <w:rsid w:val="00091042"/>
    <w:rsid w:val="000910F9"/>
    <w:rsid w:val="0009119B"/>
    <w:rsid w:val="000911F4"/>
    <w:rsid w:val="00091212"/>
    <w:rsid w:val="000918EB"/>
    <w:rsid w:val="000919C3"/>
    <w:rsid w:val="00091A00"/>
    <w:rsid w:val="00091B4E"/>
    <w:rsid w:val="000921D3"/>
    <w:rsid w:val="0009222E"/>
    <w:rsid w:val="00092232"/>
    <w:rsid w:val="000922CA"/>
    <w:rsid w:val="0009242C"/>
    <w:rsid w:val="00092503"/>
    <w:rsid w:val="0009286D"/>
    <w:rsid w:val="00092D0F"/>
    <w:rsid w:val="00092F63"/>
    <w:rsid w:val="000930F0"/>
    <w:rsid w:val="00093308"/>
    <w:rsid w:val="000934FA"/>
    <w:rsid w:val="00093500"/>
    <w:rsid w:val="000935B2"/>
    <w:rsid w:val="000936DB"/>
    <w:rsid w:val="00093758"/>
    <w:rsid w:val="00093943"/>
    <w:rsid w:val="00093D48"/>
    <w:rsid w:val="00093E4F"/>
    <w:rsid w:val="000942B9"/>
    <w:rsid w:val="000942ED"/>
    <w:rsid w:val="000942F0"/>
    <w:rsid w:val="0009434C"/>
    <w:rsid w:val="0009437E"/>
    <w:rsid w:val="000945C9"/>
    <w:rsid w:val="000947AC"/>
    <w:rsid w:val="000947E4"/>
    <w:rsid w:val="00094B77"/>
    <w:rsid w:val="00094DA4"/>
    <w:rsid w:val="00095298"/>
    <w:rsid w:val="0009566D"/>
    <w:rsid w:val="0009583B"/>
    <w:rsid w:val="00095A88"/>
    <w:rsid w:val="00095A90"/>
    <w:rsid w:val="00095A97"/>
    <w:rsid w:val="00095B62"/>
    <w:rsid w:val="00095C9B"/>
    <w:rsid w:val="00095E64"/>
    <w:rsid w:val="00095E71"/>
    <w:rsid w:val="00095EAC"/>
    <w:rsid w:val="00096033"/>
    <w:rsid w:val="000963EA"/>
    <w:rsid w:val="0009655A"/>
    <w:rsid w:val="000966AB"/>
    <w:rsid w:val="0009674E"/>
    <w:rsid w:val="00096959"/>
    <w:rsid w:val="00096D90"/>
    <w:rsid w:val="00096F18"/>
    <w:rsid w:val="00096F63"/>
    <w:rsid w:val="000975B6"/>
    <w:rsid w:val="00097662"/>
    <w:rsid w:val="0009776E"/>
    <w:rsid w:val="00097A0F"/>
    <w:rsid w:val="00097B81"/>
    <w:rsid w:val="00097C83"/>
    <w:rsid w:val="00097E86"/>
    <w:rsid w:val="00097EA9"/>
    <w:rsid w:val="000A00E4"/>
    <w:rsid w:val="000A0223"/>
    <w:rsid w:val="000A04CB"/>
    <w:rsid w:val="000A0592"/>
    <w:rsid w:val="000A09B0"/>
    <w:rsid w:val="000A0A9C"/>
    <w:rsid w:val="000A0E32"/>
    <w:rsid w:val="000A0F8F"/>
    <w:rsid w:val="000A0FF4"/>
    <w:rsid w:val="000A0FF6"/>
    <w:rsid w:val="000A10FF"/>
    <w:rsid w:val="000A1132"/>
    <w:rsid w:val="000A1225"/>
    <w:rsid w:val="000A1368"/>
    <w:rsid w:val="000A156A"/>
    <w:rsid w:val="000A15A8"/>
    <w:rsid w:val="000A18BE"/>
    <w:rsid w:val="000A1A5E"/>
    <w:rsid w:val="000A1AF3"/>
    <w:rsid w:val="000A1B13"/>
    <w:rsid w:val="000A1B95"/>
    <w:rsid w:val="000A1C0D"/>
    <w:rsid w:val="000A1DCE"/>
    <w:rsid w:val="000A1FF1"/>
    <w:rsid w:val="000A29D0"/>
    <w:rsid w:val="000A2A8A"/>
    <w:rsid w:val="000A2D79"/>
    <w:rsid w:val="000A3080"/>
    <w:rsid w:val="000A30AC"/>
    <w:rsid w:val="000A327A"/>
    <w:rsid w:val="000A386E"/>
    <w:rsid w:val="000A38A9"/>
    <w:rsid w:val="000A39C5"/>
    <w:rsid w:val="000A3A7E"/>
    <w:rsid w:val="000A3BCE"/>
    <w:rsid w:val="000A3D9E"/>
    <w:rsid w:val="000A3E16"/>
    <w:rsid w:val="000A4015"/>
    <w:rsid w:val="000A4161"/>
    <w:rsid w:val="000A4518"/>
    <w:rsid w:val="000A454A"/>
    <w:rsid w:val="000A4993"/>
    <w:rsid w:val="000A4AED"/>
    <w:rsid w:val="000A4D1B"/>
    <w:rsid w:val="000A4EAE"/>
    <w:rsid w:val="000A50F2"/>
    <w:rsid w:val="000A52E5"/>
    <w:rsid w:val="000A53D3"/>
    <w:rsid w:val="000A5446"/>
    <w:rsid w:val="000A548B"/>
    <w:rsid w:val="000A55E5"/>
    <w:rsid w:val="000A57A8"/>
    <w:rsid w:val="000A5A2B"/>
    <w:rsid w:val="000A5F28"/>
    <w:rsid w:val="000A608C"/>
    <w:rsid w:val="000A6439"/>
    <w:rsid w:val="000A65EE"/>
    <w:rsid w:val="000A6981"/>
    <w:rsid w:val="000A6BF8"/>
    <w:rsid w:val="000A6DF9"/>
    <w:rsid w:val="000A6FBC"/>
    <w:rsid w:val="000A7257"/>
    <w:rsid w:val="000A7691"/>
    <w:rsid w:val="000A7EF8"/>
    <w:rsid w:val="000B0157"/>
    <w:rsid w:val="000B03B9"/>
    <w:rsid w:val="000B06AA"/>
    <w:rsid w:val="000B0947"/>
    <w:rsid w:val="000B0999"/>
    <w:rsid w:val="000B0A11"/>
    <w:rsid w:val="000B0FB7"/>
    <w:rsid w:val="000B1022"/>
    <w:rsid w:val="000B10FB"/>
    <w:rsid w:val="000B1170"/>
    <w:rsid w:val="000B1326"/>
    <w:rsid w:val="000B14EB"/>
    <w:rsid w:val="000B175F"/>
    <w:rsid w:val="000B1795"/>
    <w:rsid w:val="000B1813"/>
    <w:rsid w:val="000B18AF"/>
    <w:rsid w:val="000B19CC"/>
    <w:rsid w:val="000B1BFF"/>
    <w:rsid w:val="000B2043"/>
    <w:rsid w:val="000B231E"/>
    <w:rsid w:val="000B235B"/>
    <w:rsid w:val="000B2525"/>
    <w:rsid w:val="000B28F8"/>
    <w:rsid w:val="000B2B26"/>
    <w:rsid w:val="000B2C1E"/>
    <w:rsid w:val="000B2D84"/>
    <w:rsid w:val="000B2D98"/>
    <w:rsid w:val="000B2FE2"/>
    <w:rsid w:val="000B309F"/>
    <w:rsid w:val="000B33D0"/>
    <w:rsid w:val="000B3485"/>
    <w:rsid w:val="000B36BD"/>
    <w:rsid w:val="000B3938"/>
    <w:rsid w:val="000B3EDE"/>
    <w:rsid w:val="000B3F77"/>
    <w:rsid w:val="000B4002"/>
    <w:rsid w:val="000B41A5"/>
    <w:rsid w:val="000B43EC"/>
    <w:rsid w:val="000B44F7"/>
    <w:rsid w:val="000B4558"/>
    <w:rsid w:val="000B45C8"/>
    <w:rsid w:val="000B48AF"/>
    <w:rsid w:val="000B4A95"/>
    <w:rsid w:val="000B4C3B"/>
    <w:rsid w:val="000B4C4E"/>
    <w:rsid w:val="000B4F92"/>
    <w:rsid w:val="000B5050"/>
    <w:rsid w:val="000B5107"/>
    <w:rsid w:val="000B533A"/>
    <w:rsid w:val="000B5620"/>
    <w:rsid w:val="000B565B"/>
    <w:rsid w:val="000B5B71"/>
    <w:rsid w:val="000B5D4E"/>
    <w:rsid w:val="000B5D8A"/>
    <w:rsid w:val="000B5DF2"/>
    <w:rsid w:val="000B64E6"/>
    <w:rsid w:val="000B651C"/>
    <w:rsid w:val="000B6889"/>
    <w:rsid w:val="000B68AE"/>
    <w:rsid w:val="000B697B"/>
    <w:rsid w:val="000B698F"/>
    <w:rsid w:val="000B6C35"/>
    <w:rsid w:val="000B6E64"/>
    <w:rsid w:val="000B72FC"/>
    <w:rsid w:val="000B7322"/>
    <w:rsid w:val="000B734F"/>
    <w:rsid w:val="000B746C"/>
    <w:rsid w:val="000B7687"/>
    <w:rsid w:val="000B768C"/>
    <w:rsid w:val="000B76A0"/>
    <w:rsid w:val="000B7899"/>
    <w:rsid w:val="000B78D0"/>
    <w:rsid w:val="000B7A5F"/>
    <w:rsid w:val="000C027B"/>
    <w:rsid w:val="000C0348"/>
    <w:rsid w:val="000C041B"/>
    <w:rsid w:val="000C067D"/>
    <w:rsid w:val="000C0782"/>
    <w:rsid w:val="000C0B6A"/>
    <w:rsid w:val="000C0C82"/>
    <w:rsid w:val="000C0EE8"/>
    <w:rsid w:val="000C0FB6"/>
    <w:rsid w:val="000C1155"/>
    <w:rsid w:val="000C133B"/>
    <w:rsid w:val="000C13AC"/>
    <w:rsid w:val="000C15AF"/>
    <w:rsid w:val="000C16CC"/>
    <w:rsid w:val="000C179D"/>
    <w:rsid w:val="000C1847"/>
    <w:rsid w:val="000C1DC6"/>
    <w:rsid w:val="000C1E55"/>
    <w:rsid w:val="000C1E95"/>
    <w:rsid w:val="000C20A8"/>
    <w:rsid w:val="000C223C"/>
    <w:rsid w:val="000C2627"/>
    <w:rsid w:val="000C27F3"/>
    <w:rsid w:val="000C2C21"/>
    <w:rsid w:val="000C306C"/>
    <w:rsid w:val="000C3079"/>
    <w:rsid w:val="000C360A"/>
    <w:rsid w:val="000C3895"/>
    <w:rsid w:val="000C4418"/>
    <w:rsid w:val="000C4690"/>
    <w:rsid w:val="000C46AF"/>
    <w:rsid w:val="000C478E"/>
    <w:rsid w:val="000C4790"/>
    <w:rsid w:val="000C4854"/>
    <w:rsid w:val="000C4B51"/>
    <w:rsid w:val="000C4C93"/>
    <w:rsid w:val="000C5091"/>
    <w:rsid w:val="000C511F"/>
    <w:rsid w:val="000C51FF"/>
    <w:rsid w:val="000C5519"/>
    <w:rsid w:val="000C58CB"/>
    <w:rsid w:val="000C5B2C"/>
    <w:rsid w:val="000C5B3C"/>
    <w:rsid w:val="000C60C1"/>
    <w:rsid w:val="000C617E"/>
    <w:rsid w:val="000C673E"/>
    <w:rsid w:val="000C693A"/>
    <w:rsid w:val="000C69BB"/>
    <w:rsid w:val="000C6A12"/>
    <w:rsid w:val="000C6CC0"/>
    <w:rsid w:val="000C6FBB"/>
    <w:rsid w:val="000C7052"/>
    <w:rsid w:val="000C7334"/>
    <w:rsid w:val="000C7542"/>
    <w:rsid w:val="000C768C"/>
    <w:rsid w:val="000C7AD5"/>
    <w:rsid w:val="000C7C4B"/>
    <w:rsid w:val="000C7C86"/>
    <w:rsid w:val="000C7C93"/>
    <w:rsid w:val="000D0160"/>
    <w:rsid w:val="000D0394"/>
    <w:rsid w:val="000D04B0"/>
    <w:rsid w:val="000D06D1"/>
    <w:rsid w:val="000D0814"/>
    <w:rsid w:val="000D093B"/>
    <w:rsid w:val="000D099E"/>
    <w:rsid w:val="000D0CB2"/>
    <w:rsid w:val="000D1087"/>
    <w:rsid w:val="000D109A"/>
    <w:rsid w:val="000D1396"/>
    <w:rsid w:val="000D1482"/>
    <w:rsid w:val="000D1758"/>
    <w:rsid w:val="000D17B7"/>
    <w:rsid w:val="000D17BD"/>
    <w:rsid w:val="000D1A23"/>
    <w:rsid w:val="000D1A63"/>
    <w:rsid w:val="000D1C2D"/>
    <w:rsid w:val="000D20A1"/>
    <w:rsid w:val="000D21EB"/>
    <w:rsid w:val="000D2521"/>
    <w:rsid w:val="000D27AF"/>
    <w:rsid w:val="000D282E"/>
    <w:rsid w:val="000D2D50"/>
    <w:rsid w:val="000D3041"/>
    <w:rsid w:val="000D309C"/>
    <w:rsid w:val="000D3257"/>
    <w:rsid w:val="000D32CF"/>
    <w:rsid w:val="000D3883"/>
    <w:rsid w:val="000D3A75"/>
    <w:rsid w:val="000D3A9F"/>
    <w:rsid w:val="000D3C97"/>
    <w:rsid w:val="000D3F0F"/>
    <w:rsid w:val="000D40F1"/>
    <w:rsid w:val="000D40F7"/>
    <w:rsid w:val="000D41C1"/>
    <w:rsid w:val="000D4201"/>
    <w:rsid w:val="000D4500"/>
    <w:rsid w:val="000D45BE"/>
    <w:rsid w:val="000D4681"/>
    <w:rsid w:val="000D4750"/>
    <w:rsid w:val="000D4887"/>
    <w:rsid w:val="000D4AB1"/>
    <w:rsid w:val="000D4BF8"/>
    <w:rsid w:val="000D4E83"/>
    <w:rsid w:val="000D5287"/>
    <w:rsid w:val="000D5369"/>
    <w:rsid w:val="000D53FA"/>
    <w:rsid w:val="000D5536"/>
    <w:rsid w:val="000D5671"/>
    <w:rsid w:val="000D5795"/>
    <w:rsid w:val="000D5820"/>
    <w:rsid w:val="000D58D7"/>
    <w:rsid w:val="000D58F7"/>
    <w:rsid w:val="000D59F0"/>
    <w:rsid w:val="000D5A42"/>
    <w:rsid w:val="000D5A4D"/>
    <w:rsid w:val="000D620B"/>
    <w:rsid w:val="000D6225"/>
    <w:rsid w:val="000D63CA"/>
    <w:rsid w:val="000D6828"/>
    <w:rsid w:val="000D69F5"/>
    <w:rsid w:val="000D6C02"/>
    <w:rsid w:val="000D6F0F"/>
    <w:rsid w:val="000D7057"/>
    <w:rsid w:val="000D70BC"/>
    <w:rsid w:val="000D7397"/>
    <w:rsid w:val="000D73B5"/>
    <w:rsid w:val="000D744C"/>
    <w:rsid w:val="000D7519"/>
    <w:rsid w:val="000D7588"/>
    <w:rsid w:val="000D7980"/>
    <w:rsid w:val="000D7A26"/>
    <w:rsid w:val="000D7A2D"/>
    <w:rsid w:val="000D7A90"/>
    <w:rsid w:val="000D7B35"/>
    <w:rsid w:val="000D7C97"/>
    <w:rsid w:val="000D7E0F"/>
    <w:rsid w:val="000E01DE"/>
    <w:rsid w:val="000E03E6"/>
    <w:rsid w:val="000E05CF"/>
    <w:rsid w:val="000E08B1"/>
    <w:rsid w:val="000E095E"/>
    <w:rsid w:val="000E0C69"/>
    <w:rsid w:val="000E0EA5"/>
    <w:rsid w:val="000E0FE3"/>
    <w:rsid w:val="000E1239"/>
    <w:rsid w:val="000E127A"/>
    <w:rsid w:val="000E165C"/>
    <w:rsid w:val="000E1A09"/>
    <w:rsid w:val="000E1A40"/>
    <w:rsid w:val="000E1D8D"/>
    <w:rsid w:val="000E1FFE"/>
    <w:rsid w:val="000E2095"/>
    <w:rsid w:val="000E20FB"/>
    <w:rsid w:val="000E2213"/>
    <w:rsid w:val="000E22F0"/>
    <w:rsid w:val="000E2314"/>
    <w:rsid w:val="000E26F9"/>
    <w:rsid w:val="000E276E"/>
    <w:rsid w:val="000E27EA"/>
    <w:rsid w:val="000E2A96"/>
    <w:rsid w:val="000E2AA4"/>
    <w:rsid w:val="000E2BA1"/>
    <w:rsid w:val="000E2BA6"/>
    <w:rsid w:val="000E2BB8"/>
    <w:rsid w:val="000E2CAC"/>
    <w:rsid w:val="000E2FD5"/>
    <w:rsid w:val="000E31F9"/>
    <w:rsid w:val="000E35B3"/>
    <w:rsid w:val="000E3654"/>
    <w:rsid w:val="000E3A21"/>
    <w:rsid w:val="000E3A3C"/>
    <w:rsid w:val="000E3CAF"/>
    <w:rsid w:val="000E3E21"/>
    <w:rsid w:val="000E3ECB"/>
    <w:rsid w:val="000E41A9"/>
    <w:rsid w:val="000E41D5"/>
    <w:rsid w:val="000E4554"/>
    <w:rsid w:val="000E4597"/>
    <w:rsid w:val="000E4733"/>
    <w:rsid w:val="000E484F"/>
    <w:rsid w:val="000E4F2E"/>
    <w:rsid w:val="000E4F45"/>
    <w:rsid w:val="000E5229"/>
    <w:rsid w:val="000E55D8"/>
    <w:rsid w:val="000E56D8"/>
    <w:rsid w:val="000E57FB"/>
    <w:rsid w:val="000E5A6A"/>
    <w:rsid w:val="000E5F24"/>
    <w:rsid w:val="000E62D6"/>
    <w:rsid w:val="000E651D"/>
    <w:rsid w:val="000E66A9"/>
    <w:rsid w:val="000E6747"/>
    <w:rsid w:val="000E685F"/>
    <w:rsid w:val="000E68A4"/>
    <w:rsid w:val="000E68C7"/>
    <w:rsid w:val="000E6E6A"/>
    <w:rsid w:val="000E6E97"/>
    <w:rsid w:val="000E70AE"/>
    <w:rsid w:val="000E7201"/>
    <w:rsid w:val="000E734D"/>
    <w:rsid w:val="000E73CE"/>
    <w:rsid w:val="000E7478"/>
    <w:rsid w:val="000E74AD"/>
    <w:rsid w:val="000E76C9"/>
    <w:rsid w:val="000E7710"/>
    <w:rsid w:val="000E7A03"/>
    <w:rsid w:val="000E7A0E"/>
    <w:rsid w:val="000E7E55"/>
    <w:rsid w:val="000F00DB"/>
    <w:rsid w:val="000F0157"/>
    <w:rsid w:val="000F026D"/>
    <w:rsid w:val="000F030A"/>
    <w:rsid w:val="000F03F4"/>
    <w:rsid w:val="000F04D7"/>
    <w:rsid w:val="000F051C"/>
    <w:rsid w:val="000F0569"/>
    <w:rsid w:val="000F067D"/>
    <w:rsid w:val="000F097E"/>
    <w:rsid w:val="000F0A4A"/>
    <w:rsid w:val="000F0AF9"/>
    <w:rsid w:val="000F0B93"/>
    <w:rsid w:val="000F0CB1"/>
    <w:rsid w:val="000F0FF6"/>
    <w:rsid w:val="000F108E"/>
    <w:rsid w:val="000F135F"/>
    <w:rsid w:val="000F1577"/>
    <w:rsid w:val="000F15BC"/>
    <w:rsid w:val="000F15E7"/>
    <w:rsid w:val="000F1703"/>
    <w:rsid w:val="000F1BA3"/>
    <w:rsid w:val="000F1CE9"/>
    <w:rsid w:val="000F1D8E"/>
    <w:rsid w:val="000F1F7D"/>
    <w:rsid w:val="000F1FF8"/>
    <w:rsid w:val="000F20BE"/>
    <w:rsid w:val="000F228D"/>
    <w:rsid w:val="000F2A3F"/>
    <w:rsid w:val="000F2AE3"/>
    <w:rsid w:val="000F2B2D"/>
    <w:rsid w:val="000F2CAC"/>
    <w:rsid w:val="000F2D4C"/>
    <w:rsid w:val="000F3199"/>
    <w:rsid w:val="000F3508"/>
    <w:rsid w:val="000F39E2"/>
    <w:rsid w:val="000F3A0B"/>
    <w:rsid w:val="000F3B3A"/>
    <w:rsid w:val="000F3B82"/>
    <w:rsid w:val="000F3C2B"/>
    <w:rsid w:val="000F3D9D"/>
    <w:rsid w:val="000F3E90"/>
    <w:rsid w:val="000F4809"/>
    <w:rsid w:val="000F48AD"/>
    <w:rsid w:val="000F4F8A"/>
    <w:rsid w:val="000F54B1"/>
    <w:rsid w:val="000F557D"/>
    <w:rsid w:val="000F5619"/>
    <w:rsid w:val="000F582D"/>
    <w:rsid w:val="000F602C"/>
    <w:rsid w:val="000F6330"/>
    <w:rsid w:val="000F6415"/>
    <w:rsid w:val="000F650A"/>
    <w:rsid w:val="000F6566"/>
    <w:rsid w:val="000F6657"/>
    <w:rsid w:val="000F66EF"/>
    <w:rsid w:val="000F68DA"/>
    <w:rsid w:val="000F697E"/>
    <w:rsid w:val="000F6B68"/>
    <w:rsid w:val="000F6C67"/>
    <w:rsid w:val="000F6CB8"/>
    <w:rsid w:val="000F6E13"/>
    <w:rsid w:val="000F6E2D"/>
    <w:rsid w:val="000F6FF5"/>
    <w:rsid w:val="000F74CC"/>
    <w:rsid w:val="000F78F9"/>
    <w:rsid w:val="000F79FD"/>
    <w:rsid w:val="000F7A18"/>
    <w:rsid w:val="000F7A81"/>
    <w:rsid w:val="000F7D2C"/>
    <w:rsid w:val="000F7DE1"/>
    <w:rsid w:val="000F7F9E"/>
    <w:rsid w:val="000F7FE0"/>
    <w:rsid w:val="0010000A"/>
    <w:rsid w:val="001000B5"/>
    <w:rsid w:val="0010011C"/>
    <w:rsid w:val="001002A3"/>
    <w:rsid w:val="00100455"/>
    <w:rsid w:val="00100627"/>
    <w:rsid w:val="00100684"/>
    <w:rsid w:val="001006FD"/>
    <w:rsid w:val="001007FD"/>
    <w:rsid w:val="0010097E"/>
    <w:rsid w:val="00100A8D"/>
    <w:rsid w:val="00100BCA"/>
    <w:rsid w:val="00100E88"/>
    <w:rsid w:val="00101053"/>
    <w:rsid w:val="00101117"/>
    <w:rsid w:val="001014DF"/>
    <w:rsid w:val="001019FB"/>
    <w:rsid w:val="00101A99"/>
    <w:rsid w:val="00101AC9"/>
    <w:rsid w:val="00101AF9"/>
    <w:rsid w:val="00101B7C"/>
    <w:rsid w:val="00101C66"/>
    <w:rsid w:val="00101CEB"/>
    <w:rsid w:val="00101EBF"/>
    <w:rsid w:val="00101F17"/>
    <w:rsid w:val="00101F46"/>
    <w:rsid w:val="00102171"/>
    <w:rsid w:val="001022EF"/>
    <w:rsid w:val="00102617"/>
    <w:rsid w:val="00102699"/>
    <w:rsid w:val="001028FF"/>
    <w:rsid w:val="00102921"/>
    <w:rsid w:val="001029DD"/>
    <w:rsid w:val="00102DB3"/>
    <w:rsid w:val="00103119"/>
    <w:rsid w:val="00103213"/>
    <w:rsid w:val="00103351"/>
    <w:rsid w:val="0010345B"/>
    <w:rsid w:val="00103B10"/>
    <w:rsid w:val="00103D38"/>
    <w:rsid w:val="00104031"/>
    <w:rsid w:val="001040AD"/>
    <w:rsid w:val="001041AB"/>
    <w:rsid w:val="00104A32"/>
    <w:rsid w:val="00104B76"/>
    <w:rsid w:val="001050B2"/>
    <w:rsid w:val="001051CA"/>
    <w:rsid w:val="001051E3"/>
    <w:rsid w:val="001056F7"/>
    <w:rsid w:val="00105928"/>
    <w:rsid w:val="00105935"/>
    <w:rsid w:val="00105D00"/>
    <w:rsid w:val="00105D30"/>
    <w:rsid w:val="00105E81"/>
    <w:rsid w:val="00105FE7"/>
    <w:rsid w:val="00106379"/>
    <w:rsid w:val="00106462"/>
    <w:rsid w:val="00106927"/>
    <w:rsid w:val="00106935"/>
    <w:rsid w:val="00106CCD"/>
    <w:rsid w:val="00106E61"/>
    <w:rsid w:val="00107189"/>
    <w:rsid w:val="00107247"/>
    <w:rsid w:val="00107501"/>
    <w:rsid w:val="00107553"/>
    <w:rsid w:val="00107580"/>
    <w:rsid w:val="00107600"/>
    <w:rsid w:val="001078AA"/>
    <w:rsid w:val="00107D0E"/>
    <w:rsid w:val="00110346"/>
    <w:rsid w:val="001103E3"/>
    <w:rsid w:val="0011063A"/>
    <w:rsid w:val="00110861"/>
    <w:rsid w:val="00110B65"/>
    <w:rsid w:val="00110DDB"/>
    <w:rsid w:val="0011107F"/>
    <w:rsid w:val="001110F3"/>
    <w:rsid w:val="001111CB"/>
    <w:rsid w:val="0011120F"/>
    <w:rsid w:val="001114D2"/>
    <w:rsid w:val="001116D1"/>
    <w:rsid w:val="00111AE6"/>
    <w:rsid w:val="00111C0F"/>
    <w:rsid w:val="00112408"/>
    <w:rsid w:val="0011245B"/>
    <w:rsid w:val="00112A62"/>
    <w:rsid w:val="00112B3B"/>
    <w:rsid w:val="00112CAA"/>
    <w:rsid w:val="00112D84"/>
    <w:rsid w:val="001133FC"/>
    <w:rsid w:val="0011351A"/>
    <w:rsid w:val="001136FC"/>
    <w:rsid w:val="00113961"/>
    <w:rsid w:val="00113A44"/>
    <w:rsid w:val="00113CB3"/>
    <w:rsid w:val="00113D5E"/>
    <w:rsid w:val="00113DD3"/>
    <w:rsid w:val="00113E54"/>
    <w:rsid w:val="00113E6D"/>
    <w:rsid w:val="00113E84"/>
    <w:rsid w:val="00113FE3"/>
    <w:rsid w:val="00114058"/>
    <w:rsid w:val="00114433"/>
    <w:rsid w:val="001145B4"/>
    <w:rsid w:val="001149F7"/>
    <w:rsid w:val="00114DDA"/>
    <w:rsid w:val="00114DEB"/>
    <w:rsid w:val="00114F0A"/>
    <w:rsid w:val="001150A7"/>
    <w:rsid w:val="00115195"/>
    <w:rsid w:val="001151AA"/>
    <w:rsid w:val="00115235"/>
    <w:rsid w:val="00115490"/>
    <w:rsid w:val="00115637"/>
    <w:rsid w:val="001156E4"/>
    <w:rsid w:val="0011580D"/>
    <w:rsid w:val="00115D99"/>
    <w:rsid w:val="00115F4B"/>
    <w:rsid w:val="0011635B"/>
    <w:rsid w:val="00116392"/>
    <w:rsid w:val="001166D1"/>
    <w:rsid w:val="00116A06"/>
    <w:rsid w:val="00116A68"/>
    <w:rsid w:val="00116C7D"/>
    <w:rsid w:val="00116FFE"/>
    <w:rsid w:val="001171BC"/>
    <w:rsid w:val="00117288"/>
    <w:rsid w:val="001172B5"/>
    <w:rsid w:val="00117315"/>
    <w:rsid w:val="00117371"/>
    <w:rsid w:val="00117431"/>
    <w:rsid w:val="00117569"/>
    <w:rsid w:val="001176CB"/>
    <w:rsid w:val="00117707"/>
    <w:rsid w:val="0011787A"/>
    <w:rsid w:val="00117A7A"/>
    <w:rsid w:val="00117DB4"/>
    <w:rsid w:val="00117E7B"/>
    <w:rsid w:val="00117FD0"/>
    <w:rsid w:val="0012006A"/>
    <w:rsid w:val="001201CF"/>
    <w:rsid w:val="001201DA"/>
    <w:rsid w:val="00120212"/>
    <w:rsid w:val="001206E8"/>
    <w:rsid w:val="00120945"/>
    <w:rsid w:val="00120CAA"/>
    <w:rsid w:val="00120DF4"/>
    <w:rsid w:val="00121777"/>
    <w:rsid w:val="001218AD"/>
    <w:rsid w:val="001219CA"/>
    <w:rsid w:val="00121AAA"/>
    <w:rsid w:val="00121B59"/>
    <w:rsid w:val="00121C8C"/>
    <w:rsid w:val="00121C9E"/>
    <w:rsid w:val="00121D9A"/>
    <w:rsid w:val="00121E8E"/>
    <w:rsid w:val="0012209C"/>
    <w:rsid w:val="001222A0"/>
    <w:rsid w:val="0012239F"/>
    <w:rsid w:val="00122998"/>
    <w:rsid w:val="00122AB0"/>
    <w:rsid w:val="00122BFA"/>
    <w:rsid w:val="00122C83"/>
    <w:rsid w:val="00122FA4"/>
    <w:rsid w:val="00123003"/>
    <w:rsid w:val="00123172"/>
    <w:rsid w:val="001237B3"/>
    <w:rsid w:val="001237F2"/>
    <w:rsid w:val="001238DA"/>
    <w:rsid w:val="00123AC2"/>
    <w:rsid w:val="00123B7B"/>
    <w:rsid w:val="00123C69"/>
    <w:rsid w:val="00123FDE"/>
    <w:rsid w:val="0012413E"/>
    <w:rsid w:val="001241BD"/>
    <w:rsid w:val="001243B6"/>
    <w:rsid w:val="001246FC"/>
    <w:rsid w:val="001247ED"/>
    <w:rsid w:val="001249C8"/>
    <w:rsid w:val="00124B63"/>
    <w:rsid w:val="00124D8C"/>
    <w:rsid w:val="00124E84"/>
    <w:rsid w:val="00125210"/>
    <w:rsid w:val="00125339"/>
    <w:rsid w:val="00125416"/>
    <w:rsid w:val="0012547C"/>
    <w:rsid w:val="001256CB"/>
    <w:rsid w:val="00125821"/>
    <w:rsid w:val="00125859"/>
    <w:rsid w:val="00125AD2"/>
    <w:rsid w:val="00125B09"/>
    <w:rsid w:val="00125E0F"/>
    <w:rsid w:val="00126919"/>
    <w:rsid w:val="00126C22"/>
    <w:rsid w:val="00126C3C"/>
    <w:rsid w:val="00126CF1"/>
    <w:rsid w:val="00126D8D"/>
    <w:rsid w:val="00126EE6"/>
    <w:rsid w:val="001272CD"/>
    <w:rsid w:val="001272CF"/>
    <w:rsid w:val="0012735A"/>
    <w:rsid w:val="0012735B"/>
    <w:rsid w:val="0012739E"/>
    <w:rsid w:val="001273A3"/>
    <w:rsid w:val="0012751D"/>
    <w:rsid w:val="0012752C"/>
    <w:rsid w:val="001275AF"/>
    <w:rsid w:val="0012764F"/>
    <w:rsid w:val="001276A1"/>
    <w:rsid w:val="0012777F"/>
    <w:rsid w:val="00127876"/>
    <w:rsid w:val="001278CC"/>
    <w:rsid w:val="00127A1C"/>
    <w:rsid w:val="00127B10"/>
    <w:rsid w:val="00127BCE"/>
    <w:rsid w:val="00127C08"/>
    <w:rsid w:val="00127FB7"/>
    <w:rsid w:val="00130118"/>
    <w:rsid w:val="001304A7"/>
    <w:rsid w:val="0013060B"/>
    <w:rsid w:val="00130826"/>
    <w:rsid w:val="00130C6A"/>
    <w:rsid w:val="00130CC8"/>
    <w:rsid w:val="00130E35"/>
    <w:rsid w:val="00130E47"/>
    <w:rsid w:val="00130EC2"/>
    <w:rsid w:val="00130F66"/>
    <w:rsid w:val="001310F9"/>
    <w:rsid w:val="001314AB"/>
    <w:rsid w:val="00131502"/>
    <w:rsid w:val="0013179E"/>
    <w:rsid w:val="001317F3"/>
    <w:rsid w:val="00131968"/>
    <w:rsid w:val="00131A4C"/>
    <w:rsid w:val="00131AA7"/>
    <w:rsid w:val="00131C01"/>
    <w:rsid w:val="00131C19"/>
    <w:rsid w:val="00131C86"/>
    <w:rsid w:val="00131DD3"/>
    <w:rsid w:val="00131E09"/>
    <w:rsid w:val="00131F0D"/>
    <w:rsid w:val="0013212D"/>
    <w:rsid w:val="00132434"/>
    <w:rsid w:val="001324FC"/>
    <w:rsid w:val="0013265A"/>
    <w:rsid w:val="001328F5"/>
    <w:rsid w:val="00132A07"/>
    <w:rsid w:val="00132C53"/>
    <w:rsid w:val="00132E67"/>
    <w:rsid w:val="00133232"/>
    <w:rsid w:val="00133941"/>
    <w:rsid w:val="00133975"/>
    <w:rsid w:val="001339D7"/>
    <w:rsid w:val="00133B3D"/>
    <w:rsid w:val="00133DB4"/>
    <w:rsid w:val="001340F8"/>
    <w:rsid w:val="00134341"/>
    <w:rsid w:val="00134356"/>
    <w:rsid w:val="00134380"/>
    <w:rsid w:val="001349F2"/>
    <w:rsid w:val="00134A53"/>
    <w:rsid w:val="00134B17"/>
    <w:rsid w:val="00134CD9"/>
    <w:rsid w:val="00134F78"/>
    <w:rsid w:val="0013538B"/>
    <w:rsid w:val="00135489"/>
    <w:rsid w:val="00135B15"/>
    <w:rsid w:val="00135DD9"/>
    <w:rsid w:val="00135EAC"/>
    <w:rsid w:val="00135FB8"/>
    <w:rsid w:val="00136147"/>
    <w:rsid w:val="00136168"/>
    <w:rsid w:val="001364B9"/>
    <w:rsid w:val="00136527"/>
    <w:rsid w:val="001368B8"/>
    <w:rsid w:val="001368D5"/>
    <w:rsid w:val="00136A5C"/>
    <w:rsid w:val="00136C09"/>
    <w:rsid w:val="00136CA1"/>
    <w:rsid w:val="00136E5C"/>
    <w:rsid w:val="00136E90"/>
    <w:rsid w:val="00136FFF"/>
    <w:rsid w:val="0013706C"/>
    <w:rsid w:val="00137396"/>
    <w:rsid w:val="001375A5"/>
    <w:rsid w:val="001375E5"/>
    <w:rsid w:val="00137742"/>
    <w:rsid w:val="0013785E"/>
    <w:rsid w:val="00137961"/>
    <w:rsid w:val="00137BB8"/>
    <w:rsid w:val="00137C12"/>
    <w:rsid w:val="00137D83"/>
    <w:rsid w:val="001400BC"/>
    <w:rsid w:val="001401F5"/>
    <w:rsid w:val="00140301"/>
    <w:rsid w:val="001403D0"/>
    <w:rsid w:val="00140582"/>
    <w:rsid w:val="00140710"/>
    <w:rsid w:val="001407BC"/>
    <w:rsid w:val="00140831"/>
    <w:rsid w:val="001408D5"/>
    <w:rsid w:val="00140AC3"/>
    <w:rsid w:val="00140B05"/>
    <w:rsid w:val="00140EA9"/>
    <w:rsid w:val="00140F85"/>
    <w:rsid w:val="0014128F"/>
    <w:rsid w:val="00141433"/>
    <w:rsid w:val="00141475"/>
    <w:rsid w:val="001414FE"/>
    <w:rsid w:val="001415D1"/>
    <w:rsid w:val="001415D4"/>
    <w:rsid w:val="00141664"/>
    <w:rsid w:val="001416A6"/>
    <w:rsid w:val="00141923"/>
    <w:rsid w:val="00141A50"/>
    <w:rsid w:val="00141AEA"/>
    <w:rsid w:val="00141B1E"/>
    <w:rsid w:val="00141C84"/>
    <w:rsid w:val="00141D16"/>
    <w:rsid w:val="00141E8C"/>
    <w:rsid w:val="00142068"/>
    <w:rsid w:val="00142271"/>
    <w:rsid w:val="001424FF"/>
    <w:rsid w:val="001426DA"/>
    <w:rsid w:val="00142835"/>
    <w:rsid w:val="00142AFA"/>
    <w:rsid w:val="00142C73"/>
    <w:rsid w:val="00142F27"/>
    <w:rsid w:val="00143148"/>
    <w:rsid w:val="001434D9"/>
    <w:rsid w:val="001435B6"/>
    <w:rsid w:val="001439A1"/>
    <w:rsid w:val="00143A1B"/>
    <w:rsid w:val="00143B52"/>
    <w:rsid w:val="00143F54"/>
    <w:rsid w:val="001442DD"/>
    <w:rsid w:val="00144327"/>
    <w:rsid w:val="001444DC"/>
    <w:rsid w:val="0014451A"/>
    <w:rsid w:val="00144568"/>
    <w:rsid w:val="00144618"/>
    <w:rsid w:val="00144635"/>
    <w:rsid w:val="0014485A"/>
    <w:rsid w:val="00144873"/>
    <w:rsid w:val="00144948"/>
    <w:rsid w:val="00144C5A"/>
    <w:rsid w:val="00144CA9"/>
    <w:rsid w:val="00144D81"/>
    <w:rsid w:val="00144EB3"/>
    <w:rsid w:val="0014502C"/>
    <w:rsid w:val="0014514F"/>
    <w:rsid w:val="001454FF"/>
    <w:rsid w:val="001455E5"/>
    <w:rsid w:val="00145737"/>
    <w:rsid w:val="00145A7F"/>
    <w:rsid w:val="00145B3D"/>
    <w:rsid w:val="00145E52"/>
    <w:rsid w:val="00145F25"/>
    <w:rsid w:val="00145FA8"/>
    <w:rsid w:val="00146606"/>
    <w:rsid w:val="001466CC"/>
    <w:rsid w:val="00146BAB"/>
    <w:rsid w:val="001470C5"/>
    <w:rsid w:val="00147196"/>
    <w:rsid w:val="001471B2"/>
    <w:rsid w:val="00147486"/>
    <w:rsid w:val="00147523"/>
    <w:rsid w:val="001476DD"/>
    <w:rsid w:val="0014791A"/>
    <w:rsid w:val="00147C74"/>
    <w:rsid w:val="00147DBE"/>
    <w:rsid w:val="00150227"/>
    <w:rsid w:val="00150286"/>
    <w:rsid w:val="001503AE"/>
    <w:rsid w:val="001503AF"/>
    <w:rsid w:val="00150481"/>
    <w:rsid w:val="0015061B"/>
    <w:rsid w:val="0015064C"/>
    <w:rsid w:val="00150950"/>
    <w:rsid w:val="00150E98"/>
    <w:rsid w:val="00151358"/>
    <w:rsid w:val="001516A9"/>
    <w:rsid w:val="00151707"/>
    <w:rsid w:val="00151E2A"/>
    <w:rsid w:val="00151F15"/>
    <w:rsid w:val="00152101"/>
    <w:rsid w:val="00152199"/>
    <w:rsid w:val="00152592"/>
    <w:rsid w:val="00152766"/>
    <w:rsid w:val="00152797"/>
    <w:rsid w:val="00152B53"/>
    <w:rsid w:val="00152D67"/>
    <w:rsid w:val="00152E5B"/>
    <w:rsid w:val="00152F4E"/>
    <w:rsid w:val="001530E9"/>
    <w:rsid w:val="001531BD"/>
    <w:rsid w:val="00153241"/>
    <w:rsid w:val="001532E3"/>
    <w:rsid w:val="00153480"/>
    <w:rsid w:val="0015379F"/>
    <w:rsid w:val="0015393E"/>
    <w:rsid w:val="00153A74"/>
    <w:rsid w:val="00153B44"/>
    <w:rsid w:val="00153F1C"/>
    <w:rsid w:val="00153FE5"/>
    <w:rsid w:val="00153FEA"/>
    <w:rsid w:val="001540FC"/>
    <w:rsid w:val="001541C1"/>
    <w:rsid w:val="0015422D"/>
    <w:rsid w:val="00154247"/>
    <w:rsid w:val="00154377"/>
    <w:rsid w:val="0015464B"/>
    <w:rsid w:val="00154674"/>
    <w:rsid w:val="00154908"/>
    <w:rsid w:val="0015496B"/>
    <w:rsid w:val="00154B61"/>
    <w:rsid w:val="00154C6C"/>
    <w:rsid w:val="00155286"/>
    <w:rsid w:val="0015534B"/>
    <w:rsid w:val="0015540F"/>
    <w:rsid w:val="001554FF"/>
    <w:rsid w:val="0015591A"/>
    <w:rsid w:val="00155959"/>
    <w:rsid w:val="00155B60"/>
    <w:rsid w:val="00155C07"/>
    <w:rsid w:val="00155E5E"/>
    <w:rsid w:val="00155E9F"/>
    <w:rsid w:val="00156571"/>
    <w:rsid w:val="00156827"/>
    <w:rsid w:val="00156DE3"/>
    <w:rsid w:val="00157028"/>
    <w:rsid w:val="001572AC"/>
    <w:rsid w:val="001572BE"/>
    <w:rsid w:val="0015737A"/>
    <w:rsid w:val="001573EC"/>
    <w:rsid w:val="001576D8"/>
    <w:rsid w:val="00157A0A"/>
    <w:rsid w:val="00157A31"/>
    <w:rsid w:val="00157EC8"/>
    <w:rsid w:val="0016003D"/>
    <w:rsid w:val="001600A4"/>
    <w:rsid w:val="00160100"/>
    <w:rsid w:val="001601FA"/>
    <w:rsid w:val="001603D8"/>
    <w:rsid w:val="0016044C"/>
    <w:rsid w:val="00160540"/>
    <w:rsid w:val="00160636"/>
    <w:rsid w:val="00160B95"/>
    <w:rsid w:val="00160BAD"/>
    <w:rsid w:val="00160F88"/>
    <w:rsid w:val="00161070"/>
    <w:rsid w:val="001611EC"/>
    <w:rsid w:val="00161316"/>
    <w:rsid w:val="00161607"/>
    <w:rsid w:val="001617E7"/>
    <w:rsid w:val="00161897"/>
    <w:rsid w:val="00161B07"/>
    <w:rsid w:val="00161B59"/>
    <w:rsid w:val="00161D4A"/>
    <w:rsid w:val="00161F8D"/>
    <w:rsid w:val="0016243B"/>
    <w:rsid w:val="001625D9"/>
    <w:rsid w:val="001626EA"/>
    <w:rsid w:val="00162814"/>
    <w:rsid w:val="00162951"/>
    <w:rsid w:val="00162AD8"/>
    <w:rsid w:val="00162B11"/>
    <w:rsid w:val="00162B8F"/>
    <w:rsid w:val="00162EDE"/>
    <w:rsid w:val="001630EF"/>
    <w:rsid w:val="0016314B"/>
    <w:rsid w:val="00163176"/>
    <w:rsid w:val="00163322"/>
    <w:rsid w:val="001633E0"/>
    <w:rsid w:val="001637A0"/>
    <w:rsid w:val="00163876"/>
    <w:rsid w:val="001639C7"/>
    <w:rsid w:val="00163B9D"/>
    <w:rsid w:val="00163DA9"/>
    <w:rsid w:val="00163E3E"/>
    <w:rsid w:val="0016413E"/>
    <w:rsid w:val="00164179"/>
    <w:rsid w:val="001644B1"/>
    <w:rsid w:val="00164608"/>
    <w:rsid w:val="00164DF7"/>
    <w:rsid w:val="0016506C"/>
    <w:rsid w:val="00165259"/>
    <w:rsid w:val="00165433"/>
    <w:rsid w:val="0016551B"/>
    <w:rsid w:val="00165536"/>
    <w:rsid w:val="00165706"/>
    <w:rsid w:val="001657E8"/>
    <w:rsid w:val="001659EE"/>
    <w:rsid w:val="00165B94"/>
    <w:rsid w:val="00165E74"/>
    <w:rsid w:val="00166056"/>
    <w:rsid w:val="0016650B"/>
    <w:rsid w:val="00166BF8"/>
    <w:rsid w:val="00166DD3"/>
    <w:rsid w:val="00166DF4"/>
    <w:rsid w:val="0016733A"/>
    <w:rsid w:val="0016787D"/>
    <w:rsid w:val="0016792B"/>
    <w:rsid w:val="00167A1A"/>
    <w:rsid w:val="00167B23"/>
    <w:rsid w:val="00167C79"/>
    <w:rsid w:val="00167FBF"/>
    <w:rsid w:val="00170036"/>
    <w:rsid w:val="001700F8"/>
    <w:rsid w:val="00170191"/>
    <w:rsid w:val="001701D2"/>
    <w:rsid w:val="00170A2D"/>
    <w:rsid w:val="00170B03"/>
    <w:rsid w:val="00170B75"/>
    <w:rsid w:val="00170D68"/>
    <w:rsid w:val="00170D77"/>
    <w:rsid w:val="00171172"/>
    <w:rsid w:val="00171283"/>
    <w:rsid w:val="001718DA"/>
    <w:rsid w:val="00172033"/>
    <w:rsid w:val="001722E1"/>
    <w:rsid w:val="00172444"/>
    <w:rsid w:val="001724C1"/>
    <w:rsid w:val="00172807"/>
    <w:rsid w:val="0017283D"/>
    <w:rsid w:val="001729E0"/>
    <w:rsid w:val="00172A9E"/>
    <w:rsid w:val="001730D5"/>
    <w:rsid w:val="001731A9"/>
    <w:rsid w:val="001731F0"/>
    <w:rsid w:val="00173293"/>
    <w:rsid w:val="001732C2"/>
    <w:rsid w:val="0017345A"/>
    <w:rsid w:val="001736DC"/>
    <w:rsid w:val="00173884"/>
    <w:rsid w:val="001738ED"/>
    <w:rsid w:val="00173B96"/>
    <w:rsid w:val="00173BC6"/>
    <w:rsid w:val="00173F82"/>
    <w:rsid w:val="00174002"/>
    <w:rsid w:val="00174066"/>
    <w:rsid w:val="0017427C"/>
    <w:rsid w:val="0017458D"/>
    <w:rsid w:val="00174728"/>
    <w:rsid w:val="00174829"/>
    <w:rsid w:val="00174874"/>
    <w:rsid w:val="00174994"/>
    <w:rsid w:val="00174C64"/>
    <w:rsid w:val="0017531A"/>
    <w:rsid w:val="0017580C"/>
    <w:rsid w:val="001759AB"/>
    <w:rsid w:val="001759D4"/>
    <w:rsid w:val="00175A0E"/>
    <w:rsid w:val="00175BBE"/>
    <w:rsid w:val="00175C52"/>
    <w:rsid w:val="00175D80"/>
    <w:rsid w:val="001760AF"/>
    <w:rsid w:val="001761DF"/>
    <w:rsid w:val="00176508"/>
    <w:rsid w:val="001766A9"/>
    <w:rsid w:val="00176811"/>
    <w:rsid w:val="00176841"/>
    <w:rsid w:val="00176A05"/>
    <w:rsid w:val="00176A32"/>
    <w:rsid w:val="00176A7A"/>
    <w:rsid w:val="00176C28"/>
    <w:rsid w:val="00176CC4"/>
    <w:rsid w:val="00176D29"/>
    <w:rsid w:val="00176F68"/>
    <w:rsid w:val="001775AF"/>
    <w:rsid w:val="00177865"/>
    <w:rsid w:val="00177BDD"/>
    <w:rsid w:val="00177C36"/>
    <w:rsid w:val="00177D66"/>
    <w:rsid w:val="0018000C"/>
    <w:rsid w:val="00180209"/>
    <w:rsid w:val="001807A0"/>
    <w:rsid w:val="001809F7"/>
    <w:rsid w:val="00180AC7"/>
    <w:rsid w:val="00180CF4"/>
    <w:rsid w:val="00180CFC"/>
    <w:rsid w:val="00180D95"/>
    <w:rsid w:val="00181321"/>
    <w:rsid w:val="001813F7"/>
    <w:rsid w:val="001814ED"/>
    <w:rsid w:val="0018166D"/>
    <w:rsid w:val="00181712"/>
    <w:rsid w:val="0018188F"/>
    <w:rsid w:val="00181931"/>
    <w:rsid w:val="0018199B"/>
    <w:rsid w:val="00181CFD"/>
    <w:rsid w:val="0018226E"/>
    <w:rsid w:val="001822E5"/>
    <w:rsid w:val="001826C4"/>
    <w:rsid w:val="00182745"/>
    <w:rsid w:val="0018297E"/>
    <w:rsid w:val="00182AB1"/>
    <w:rsid w:val="00182BF5"/>
    <w:rsid w:val="00182D76"/>
    <w:rsid w:val="00182D7A"/>
    <w:rsid w:val="00182DCF"/>
    <w:rsid w:val="00182F21"/>
    <w:rsid w:val="001830E8"/>
    <w:rsid w:val="001833B9"/>
    <w:rsid w:val="00183802"/>
    <w:rsid w:val="0018397F"/>
    <w:rsid w:val="00183B6E"/>
    <w:rsid w:val="00183B7C"/>
    <w:rsid w:val="0018401C"/>
    <w:rsid w:val="001840C3"/>
    <w:rsid w:val="001841BA"/>
    <w:rsid w:val="00184291"/>
    <w:rsid w:val="00184C1F"/>
    <w:rsid w:val="00184C94"/>
    <w:rsid w:val="0018506B"/>
    <w:rsid w:val="00185136"/>
    <w:rsid w:val="00185220"/>
    <w:rsid w:val="0018524B"/>
    <w:rsid w:val="0018537F"/>
    <w:rsid w:val="00185516"/>
    <w:rsid w:val="00185728"/>
    <w:rsid w:val="00185750"/>
    <w:rsid w:val="00185789"/>
    <w:rsid w:val="00185A3E"/>
    <w:rsid w:val="00185B01"/>
    <w:rsid w:val="00185DEE"/>
    <w:rsid w:val="00186075"/>
    <w:rsid w:val="00186123"/>
    <w:rsid w:val="001862D8"/>
    <w:rsid w:val="0018655F"/>
    <w:rsid w:val="001866DE"/>
    <w:rsid w:val="0018691E"/>
    <w:rsid w:val="00186A10"/>
    <w:rsid w:val="00186A99"/>
    <w:rsid w:val="00186B53"/>
    <w:rsid w:val="00186F65"/>
    <w:rsid w:val="00186FCE"/>
    <w:rsid w:val="00187059"/>
    <w:rsid w:val="00187402"/>
    <w:rsid w:val="001874DD"/>
    <w:rsid w:val="00187ABE"/>
    <w:rsid w:val="00187AE8"/>
    <w:rsid w:val="00187B0C"/>
    <w:rsid w:val="00187DF8"/>
    <w:rsid w:val="00190141"/>
    <w:rsid w:val="0019021D"/>
    <w:rsid w:val="0019073E"/>
    <w:rsid w:val="00190763"/>
    <w:rsid w:val="00190821"/>
    <w:rsid w:val="0019097B"/>
    <w:rsid w:val="00190D60"/>
    <w:rsid w:val="00190E68"/>
    <w:rsid w:val="00191645"/>
    <w:rsid w:val="001916D0"/>
    <w:rsid w:val="00191809"/>
    <w:rsid w:val="0019188B"/>
    <w:rsid w:val="001918E6"/>
    <w:rsid w:val="00191C76"/>
    <w:rsid w:val="00192538"/>
    <w:rsid w:val="001925C1"/>
    <w:rsid w:val="00192D3A"/>
    <w:rsid w:val="00192FB6"/>
    <w:rsid w:val="0019300F"/>
    <w:rsid w:val="0019303C"/>
    <w:rsid w:val="00193158"/>
    <w:rsid w:val="001931E2"/>
    <w:rsid w:val="001931EF"/>
    <w:rsid w:val="00193227"/>
    <w:rsid w:val="0019329D"/>
    <w:rsid w:val="001933CE"/>
    <w:rsid w:val="001937EB"/>
    <w:rsid w:val="001937FD"/>
    <w:rsid w:val="00193D82"/>
    <w:rsid w:val="00193DAD"/>
    <w:rsid w:val="00193E20"/>
    <w:rsid w:val="00193FCB"/>
    <w:rsid w:val="00194074"/>
    <w:rsid w:val="001940D0"/>
    <w:rsid w:val="001941F5"/>
    <w:rsid w:val="001945C6"/>
    <w:rsid w:val="001945E9"/>
    <w:rsid w:val="00194B05"/>
    <w:rsid w:val="00194D55"/>
    <w:rsid w:val="00195326"/>
    <w:rsid w:val="0019552E"/>
    <w:rsid w:val="001957DE"/>
    <w:rsid w:val="001958B1"/>
    <w:rsid w:val="00195922"/>
    <w:rsid w:val="00195990"/>
    <w:rsid w:val="00195D42"/>
    <w:rsid w:val="00195E2F"/>
    <w:rsid w:val="00195E6F"/>
    <w:rsid w:val="00196246"/>
    <w:rsid w:val="0019625B"/>
    <w:rsid w:val="00196361"/>
    <w:rsid w:val="0019646C"/>
    <w:rsid w:val="0019654A"/>
    <w:rsid w:val="001967D0"/>
    <w:rsid w:val="0019682D"/>
    <w:rsid w:val="00196A59"/>
    <w:rsid w:val="00196A92"/>
    <w:rsid w:val="00196B22"/>
    <w:rsid w:val="00196FBE"/>
    <w:rsid w:val="001970DF"/>
    <w:rsid w:val="001970E9"/>
    <w:rsid w:val="0019710B"/>
    <w:rsid w:val="00197982"/>
    <w:rsid w:val="00197D4D"/>
    <w:rsid w:val="001A012D"/>
    <w:rsid w:val="001A020C"/>
    <w:rsid w:val="001A030F"/>
    <w:rsid w:val="001A0607"/>
    <w:rsid w:val="001A07A5"/>
    <w:rsid w:val="001A07ED"/>
    <w:rsid w:val="001A08AB"/>
    <w:rsid w:val="001A0AF6"/>
    <w:rsid w:val="001A0BCE"/>
    <w:rsid w:val="001A0C67"/>
    <w:rsid w:val="001A0D4D"/>
    <w:rsid w:val="001A0FFB"/>
    <w:rsid w:val="001A1071"/>
    <w:rsid w:val="001A10A8"/>
    <w:rsid w:val="001A121B"/>
    <w:rsid w:val="001A1509"/>
    <w:rsid w:val="001A17CB"/>
    <w:rsid w:val="001A183A"/>
    <w:rsid w:val="001A1846"/>
    <w:rsid w:val="001A18C2"/>
    <w:rsid w:val="001A1916"/>
    <w:rsid w:val="001A1990"/>
    <w:rsid w:val="001A1B25"/>
    <w:rsid w:val="001A1D87"/>
    <w:rsid w:val="001A1F34"/>
    <w:rsid w:val="001A241E"/>
    <w:rsid w:val="001A28B3"/>
    <w:rsid w:val="001A28E4"/>
    <w:rsid w:val="001A2A68"/>
    <w:rsid w:val="001A2AFF"/>
    <w:rsid w:val="001A2BE1"/>
    <w:rsid w:val="001A2D8B"/>
    <w:rsid w:val="001A2FB3"/>
    <w:rsid w:val="001A304B"/>
    <w:rsid w:val="001A30CD"/>
    <w:rsid w:val="001A3705"/>
    <w:rsid w:val="001A37F4"/>
    <w:rsid w:val="001A396D"/>
    <w:rsid w:val="001A3976"/>
    <w:rsid w:val="001A3BCF"/>
    <w:rsid w:val="001A3D8C"/>
    <w:rsid w:val="001A3DE1"/>
    <w:rsid w:val="001A3F68"/>
    <w:rsid w:val="001A3F7A"/>
    <w:rsid w:val="001A409D"/>
    <w:rsid w:val="001A4383"/>
    <w:rsid w:val="001A43F1"/>
    <w:rsid w:val="001A473C"/>
    <w:rsid w:val="001A4C1A"/>
    <w:rsid w:val="001A4C8D"/>
    <w:rsid w:val="001A4DE5"/>
    <w:rsid w:val="001A4FA7"/>
    <w:rsid w:val="001A50D8"/>
    <w:rsid w:val="001A512A"/>
    <w:rsid w:val="001A5508"/>
    <w:rsid w:val="001A5B7F"/>
    <w:rsid w:val="001A5E57"/>
    <w:rsid w:val="001A603F"/>
    <w:rsid w:val="001A60CB"/>
    <w:rsid w:val="001A646A"/>
    <w:rsid w:val="001A64C4"/>
    <w:rsid w:val="001A65E4"/>
    <w:rsid w:val="001A69A6"/>
    <w:rsid w:val="001A6A9F"/>
    <w:rsid w:val="001A6B33"/>
    <w:rsid w:val="001A6BD6"/>
    <w:rsid w:val="001A6C59"/>
    <w:rsid w:val="001A6C8D"/>
    <w:rsid w:val="001A7094"/>
    <w:rsid w:val="001A7125"/>
    <w:rsid w:val="001A7372"/>
    <w:rsid w:val="001A742C"/>
    <w:rsid w:val="001A74CF"/>
    <w:rsid w:val="001A7885"/>
    <w:rsid w:val="001A7919"/>
    <w:rsid w:val="001A7BC9"/>
    <w:rsid w:val="001A7D33"/>
    <w:rsid w:val="001A7D34"/>
    <w:rsid w:val="001B010B"/>
    <w:rsid w:val="001B088A"/>
    <w:rsid w:val="001B0B17"/>
    <w:rsid w:val="001B0BE7"/>
    <w:rsid w:val="001B0C72"/>
    <w:rsid w:val="001B0F9B"/>
    <w:rsid w:val="001B0FB7"/>
    <w:rsid w:val="001B10F3"/>
    <w:rsid w:val="001B1257"/>
    <w:rsid w:val="001B1338"/>
    <w:rsid w:val="001B1472"/>
    <w:rsid w:val="001B1551"/>
    <w:rsid w:val="001B1871"/>
    <w:rsid w:val="001B19CA"/>
    <w:rsid w:val="001B1D3A"/>
    <w:rsid w:val="001B1DD2"/>
    <w:rsid w:val="001B204C"/>
    <w:rsid w:val="001B261D"/>
    <w:rsid w:val="001B2650"/>
    <w:rsid w:val="001B27BF"/>
    <w:rsid w:val="001B2811"/>
    <w:rsid w:val="001B29C6"/>
    <w:rsid w:val="001B2A68"/>
    <w:rsid w:val="001B2A82"/>
    <w:rsid w:val="001B2CA4"/>
    <w:rsid w:val="001B2CC1"/>
    <w:rsid w:val="001B2D57"/>
    <w:rsid w:val="001B2D65"/>
    <w:rsid w:val="001B2ED0"/>
    <w:rsid w:val="001B2EEA"/>
    <w:rsid w:val="001B3356"/>
    <w:rsid w:val="001B34E3"/>
    <w:rsid w:val="001B34FF"/>
    <w:rsid w:val="001B35A4"/>
    <w:rsid w:val="001B3915"/>
    <w:rsid w:val="001B3D6B"/>
    <w:rsid w:val="001B3DC3"/>
    <w:rsid w:val="001B3E50"/>
    <w:rsid w:val="001B41DF"/>
    <w:rsid w:val="001B4204"/>
    <w:rsid w:val="001B4224"/>
    <w:rsid w:val="001B434F"/>
    <w:rsid w:val="001B4371"/>
    <w:rsid w:val="001B4714"/>
    <w:rsid w:val="001B4792"/>
    <w:rsid w:val="001B48FE"/>
    <w:rsid w:val="001B4BB2"/>
    <w:rsid w:val="001B4D96"/>
    <w:rsid w:val="001B4E33"/>
    <w:rsid w:val="001B4EEB"/>
    <w:rsid w:val="001B51B4"/>
    <w:rsid w:val="001B53B0"/>
    <w:rsid w:val="001B5485"/>
    <w:rsid w:val="001B5916"/>
    <w:rsid w:val="001B5ADA"/>
    <w:rsid w:val="001B5D85"/>
    <w:rsid w:val="001B5ED2"/>
    <w:rsid w:val="001B5F10"/>
    <w:rsid w:val="001B6332"/>
    <w:rsid w:val="001B67D0"/>
    <w:rsid w:val="001B6F36"/>
    <w:rsid w:val="001B6FC4"/>
    <w:rsid w:val="001B7092"/>
    <w:rsid w:val="001B73A9"/>
    <w:rsid w:val="001B75AD"/>
    <w:rsid w:val="001B79DF"/>
    <w:rsid w:val="001B7A61"/>
    <w:rsid w:val="001B7A9B"/>
    <w:rsid w:val="001B7B16"/>
    <w:rsid w:val="001B7BC6"/>
    <w:rsid w:val="001B7D43"/>
    <w:rsid w:val="001C0221"/>
    <w:rsid w:val="001C03BD"/>
    <w:rsid w:val="001C04C9"/>
    <w:rsid w:val="001C09B7"/>
    <w:rsid w:val="001C0F92"/>
    <w:rsid w:val="001C129F"/>
    <w:rsid w:val="001C13EF"/>
    <w:rsid w:val="001C1436"/>
    <w:rsid w:val="001C159B"/>
    <w:rsid w:val="001C1682"/>
    <w:rsid w:val="001C1A49"/>
    <w:rsid w:val="001C1AAE"/>
    <w:rsid w:val="001C1C52"/>
    <w:rsid w:val="001C1EEC"/>
    <w:rsid w:val="001C1FDE"/>
    <w:rsid w:val="001C2341"/>
    <w:rsid w:val="001C29EC"/>
    <w:rsid w:val="001C2CEE"/>
    <w:rsid w:val="001C2F5B"/>
    <w:rsid w:val="001C37FC"/>
    <w:rsid w:val="001C3B88"/>
    <w:rsid w:val="001C3D19"/>
    <w:rsid w:val="001C3F66"/>
    <w:rsid w:val="001C3F95"/>
    <w:rsid w:val="001C40DC"/>
    <w:rsid w:val="001C43CA"/>
    <w:rsid w:val="001C43DB"/>
    <w:rsid w:val="001C4418"/>
    <w:rsid w:val="001C463D"/>
    <w:rsid w:val="001C4656"/>
    <w:rsid w:val="001C4800"/>
    <w:rsid w:val="001C48F0"/>
    <w:rsid w:val="001C4A9D"/>
    <w:rsid w:val="001C5666"/>
    <w:rsid w:val="001C584C"/>
    <w:rsid w:val="001C5987"/>
    <w:rsid w:val="001C5AB1"/>
    <w:rsid w:val="001C5F50"/>
    <w:rsid w:val="001C6126"/>
    <w:rsid w:val="001C6137"/>
    <w:rsid w:val="001C629C"/>
    <w:rsid w:val="001C63B2"/>
    <w:rsid w:val="001C647D"/>
    <w:rsid w:val="001C64A4"/>
    <w:rsid w:val="001C6595"/>
    <w:rsid w:val="001C67EA"/>
    <w:rsid w:val="001C6A48"/>
    <w:rsid w:val="001C6C4F"/>
    <w:rsid w:val="001C6CE2"/>
    <w:rsid w:val="001C6D60"/>
    <w:rsid w:val="001C6DF5"/>
    <w:rsid w:val="001C6EF7"/>
    <w:rsid w:val="001C72C3"/>
    <w:rsid w:val="001C75FD"/>
    <w:rsid w:val="001C7711"/>
    <w:rsid w:val="001C77DB"/>
    <w:rsid w:val="001C7855"/>
    <w:rsid w:val="001C78B6"/>
    <w:rsid w:val="001C792E"/>
    <w:rsid w:val="001C7A84"/>
    <w:rsid w:val="001C7ABF"/>
    <w:rsid w:val="001C7B19"/>
    <w:rsid w:val="001C7B2F"/>
    <w:rsid w:val="001C7B9E"/>
    <w:rsid w:val="001C7CF9"/>
    <w:rsid w:val="001C7D79"/>
    <w:rsid w:val="001C7EB0"/>
    <w:rsid w:val="001C7F49"/>
    <w:rsid w:val="001D01B4"/>
    <w:rsid w:val="001D0218"/>
    <w:rsid w:val="001D046E"/>
    <w:rsid w:val="001D04CA"/>
    <w:rsid w:val="001D052D"/>
    <w:rsid w:val="001D0570"/>
    <w:rsid w:val="001D09F6"/>
    <w:rsid w:val="001D0A4F"/>
    <w:rsid w:val="001D0B72"/>
    <w:rsid w:val="001D0D81"/>
    <w:rsid w:val="001D12A7"/>
    <w:rsid w:val="001D145A"/>
    <w:rsid w:val="001D1564"/>
    <w:rsid w:val="001D15E8"/>
    <w:rsid w:val="001D195E"/>
    <w:rsid w:val="001D1E80"/>
    <w:rsid w:val="001D1FEE"/>
    <w:rsid w:val="001D2152"/>
    <w:rsid w:val="001D26B1"/>
    <w:rsid w:val="001D2745"/>
    <w:rsid w:val="001D275E"/>
    <w:rsid w:val="001D2F02"/>
    <w:rsid w:val="001D3020"/>
    <w:rsid w:val="001D3060"/>
    <w:rsid w:val="001D33E8"/>
    <w:rsid w:val="001D3818"/>
    <w:rsid w:val="001D387C"/>
    <w:rsid w:val="001D38D3"/>
    <w:rsid w:val="001D3A68"/>
    <w:rsid w:val="001D3D79"/>
    <w:rsid w:val="001D3E49"/>
    <w:rsid w:val="001D4BE4"/>
    <w:rsid w:val="001D4EFF"/>
    <w:rsid w:val="001D5291"/>
    <w:rsid w:val="001D54D7"/>
    <w:rsid w:val="001D588C"/>
    <w:rsid w:val="001D588E"/>
    <w:rsid w:val="001D5972"/>
    <w:rsid w:val="001D59F6"/>
    <w:rsid w:val="001D5D49"/>
    <w:rsid w:val="001D609A"/>
    <w:rsid w:val="001D66AA"/>
    <w:rsid w:val="001D66DD"/>
    <w:rsid w:val="001D6764"/>
    <w:rsid w:val="001D67FE"/>
    <w:rsid w:val="001D684F"/>
    <w:rsid w:val="001D6A7A"/>
    <w:rsid w:val="001D6BCE"/>
    <w:rsid w:val="001D6D22"/>
    <w:rsid w:val="001D6DED"/>
    <w:rsid w:val="001D6E62"/>
    <w:rsid w:val="001D6FD5"/>
    <w:rsid w:val="001D709D"/>
    <w:rsid w:val="001D72EC"/>
    <w:rsid w:val="001D73B6"/>
    <w:rsid w:val="001D76EC"/>
    <w:rsid w:val="001D7957"/>
    <w:rsid w:val="001D7A46"/>
    <w:rsid w:val="001D7A4B"/>
    <w:rsid w:val="001D7B1F"/>
    <w:rsid w:val="001D7B6A"/>
    <w:rsid w:val="001D7D0B"/>
    <w:rsid w:val="001D7DDE"/>
    <w:rsid w:val="001D7F33"/>
    <w:rsid w:val="001D7F41"/>
    <w:rsid w:val="001E00F1"/>
    <w:rsid w:val="001E01F3"/>
    <w:rsid w:val="001E0204"/>
    <w:rsid w:val="001E04D4"/>
    <w:rsid w:val="001E0A3B"/>
    <w:rsid w:val="001E0E0F"/>
    <w:rsid w:val="001E0E40"/>
    <w:rsid w:val="001E1092"/>
    <w:rsid w:val="001E1277"/>
    <w:rsid w:val="001E162B"/>
    <w:rsid w:val="001E1BE2"/>
    <w:rsid w:val="001E1DA8"/>
    <w:rsid w:val="001E1F5C"/>
    <w:rsid w:val="001E202A"/>
    <w:rsid w:val="001E211F"/>
    <w:rsid w:val="001E2212"/>
    <w:rsid w:val="001E2A2A"/>
    <w:rsid w:val="001E2CF9"/>
    <w:rsid w:val="001E2E54"/>
    <w:rsid w:val="001E2F10"/>
    <w:rsid w:val="001E317E"/>
    <w:rsid w:val="001E3226"/>
    <w:rsid w:val="001E366E"/>
    <w:rsid w:val="001E36FC"/>
    <w:rsid w:val="001E36FD"/>
    <w:rsid w:val="001E3A83"/>
    <w:rsid w:val="001E3C38"/>
    <w:rsid w:val="001E4154"/>
    <w:rsid w:val="001E449E"/>
    <w:rsid w:val="001E4A0A"/>
    <w:rsid w:val="001E4AF7"/>
    <w:rsid w:val="001E509D"/>
    <w:rsid w:val="001E50AE"/>
    <w:rsid w:val="001E52B1"/>
    <w:rsid w:val="001E54FB"/>
    <w:rsid w:val="001E554F"/>
    <w:rsid w:val="001E5602"/>
    <w:rsid w:val="001E5683"/>
    <w:rsid w:val="001E5994"/>
    <w:rsid w:val="001E5AB1"/>
    <w:rsid w:val="001E5AFF"/>
    <w:rsid w:val="001E5B23"/>
    <w:rsid w:val="001E5B33"/>
    <w:rsid w:val="001E5C59"/>
    <w:rsid w:val="001E5CA3"/>
    <w:rsid w:val="001E5E14"/>
    <w:rsid w:val="001E5F52"/>
    <w:rsid w:val="001E61C8"/>
    <w:rsid w:val="001E627A"/>
    <w:rsid w:val="001E62DA"/>
    <w:rsid w:val="001E69BD"/>
    <w:rsid w:val="001E6C15"/>
    <w:rsid w:val="001E6C29"/>
    <w:rsid w:val="001E6CC8"/>
    <w:rsid w:val="001E6FD0"/>
    <w:rsid w:val="001E7048"/>
    <w:rsid w:val="001E7196"/>
    <w:rsid w:val="001E7403"/>
    <w:rsid w:val="001E7721"/>
    <w:rsid w:val="001E7778"/>
    <w:rsid w:val="001E78B6"/>
    <w:rsid w:val="001E7969"/>
    <w:rsid w:val="001E79F3"/>
    <w:rsid w:val="001E7A44"/>
    <w:rsid w:val="001E7AE6"/>
    <w:rsid w:val="001E7B2D"/>
    <w:rsid w:val="001E7B75"/>
    <w:rsid w:val="001F0076"/>
    <w:rsid w:val="001F00F7"/>
    <w:rsid w:val="001F0136"/>
    <w:rsid w:val="001F01F0"/>
    <w:rsid w:val="001F0389"/>
    <w:rsid w:val="001F0753"/>
    <w:rsid w:val="001F0A77"/>
    <w:rsid w:val="001F0A7B"/>
    <w:rsid w:val="001F0BB9"/>
    <w:rsid w:val="001F1082"/>
    <w:rsid w:val="001F11B0"/>
    <w:rsid w:val="001F1475"/>
    <w:rsid w:val="001F1606"/>
    <w:rsid w:val="001F166C"/>
    <w:rsid w:val="001F1B06"/>
    <w:rsid w:val="001F1B24"/>
    <w:rsid w:val="001F1BB2"/>
    <w:rsid w:val="001F1C47"/>
    <w:rsid w:val="001F1CEC"/>
    <w:rsid w:val="001F1EA6"/>
    <w:rsid w:val="001F1EE1"/>
    <w:rsid w:val="001F2284"/>
    <w:rsid w:val="001F22AD"/>
    <w:rsid w:val="001F244E"/>
    <w:rsid w:val="001F25A8"/>
    <w:rsid w:val="001F27D4"/>
    <w:rsid w:val="001F282C"/>
    <w:rsid w:val="001F2830"/>
    <w:rsid w:val="001F2A70"/>
    <w:rsid w:val="001F2A82"/>
    <w:rsid w:val="001F2C43"/>
    <w:rsid w:val="001F2EC6"/>
    <w:rsid w:val="001F307D"/>
    <w:rsid w:val="001F3382"/>
    <w:rsid w:val="001F3464"/>
    <w:rsid w:val="001F3E7C"/>
    <w:rsid w:val="001F4068"/>
    <w:rsid w:val="001F40B3"/>
    <w:rsid w:val="001F423C"/>
    <w:rsid w:val="001F42BB"/>
    <w:rsid w:val="001F4337"/>
    <w:rsid w:val="001F4397"/>
    <w:rsid w:val="001F43C8"/>
    <w:rsid w:val="001F4A12"/>
    <w:rsid w:val="001F4B60"/>
    <w:rsid w:val="001F4C8C"/>
    <w:rsid w:val="001F4EEE"/>
    <w:rsid w:val="001F504B"/>
    <w:rsid w:val="001F5053"/>
    <w:rsid w:val="001F51B0"/>
    <w:rsid w:val="001F5231"/>
    <w:rsid w:val="001F53C3"/>
    <w:rsid w:val="001F5488"/>
    <w:rsid w:val="001F54CC"/>
    <w:rsid w:val="001F551A"/>
    <w:rsid w:val="001F5674"/>
    <w:rsid w:val="001F5753"/>
    <w:rsid w:val="001F57A8"/>
    <w:rsid w:val="001F5816"/>
    <w:rsid w:val="001F5AFC"/>
    <w:rsid w:val="001F5CAD"/>
    <w:rsid w:val="001F5D26"/>
    <w:rsid w:val="001F5FA0"/>
    <w:rsid w:val="001F5FC0"/>
    <w:rsid w:val="001F614D"/>
    <w:rsid w:val="001F6186"/>
    <w:rsid w:val="001F6251"/>
    <w:rsid w:val="001F65AE"/>
    <w:rsid w:val="001F6677"/>
    <w:rsid w:val="001F66A0"/>
    <w:rsid w:val="001F66E6"/>
    <w:rsid w:val="001F69D4"/>
    <w:rsid w:val="001F6DA2"/>
    <w:rsid w:val="001F71A6"/>
    <w:rsid w:val="001F71B5"/>
    <w:rsid w:val="001F72D4"/>
    <w:rsid w:val="001F77B2"/>
    <w:rsid w:val="001F7964"/>
    <w:rsid w:val="001F7A6D"/>
    <w:rsid w:val="001F7B09"/>
    <w:rsid w:val="001F7D0E"/>
    <w:rsid w:val="001F7EFD"/>
    <w:rsid w:val="001F7F3E"/>
    <w:rsid w:val="001F7FF0"/>
    <w:rsid w:val="0020000D"/>
    <w:rsid w:val="00200177"/>
    <w:rsid w:val="0020026C"/>
    <w:rsid w:val="00200324"/>
    <w:rsid w:val="0020040C"/>
    <w:rsid w:val="0020043A"/>
    <w:rsid w:val="00200598"/>
    <w:rsid w:val="002008F2"/>
    <w:rsid w:val="00200B98"/>
    <w:rsid w:val="00200DFF"/>
    <w:rsid w:val="002010FE"/>
    <w:rsid w:val="00201333"/>
    <w:rsid w:val="00201593"/>
    <w:rsid w:val="00201713"/>
    <w:rsid w:val="00201866"/>
    <w:rsid w:val="00201869"/>
    <w:rsid w:val="00201AB0"/>
    <w:rsid w:val="00201EF3"/>
    <w:rsid w:val="00202110"/>
    <w:rsid w:val="002021AE"/>
    <w:rsid w:val="0020231D"/>
    <w:rsid w:val="0020261E"/>
    <w:rsid w:val="0020276D"/>
    <w:rsid w:val="002028F4"/>
    <w:rsid w:val="002029FC"/>
    <w:rsid w:val="00202A5A"/>
    <w:rsid w:val="00202CC5"/>
    <w:rsid w:val="00202DD5"/>
    <w:rsid w:val="00202E47"/>
    <w:rsid w:val="00202ED2"/>
    <w:rsid w:val="00203054"/>
    <w:rsid w:val="0020309F"/>
    <w:rsid w:val="0020320E"/>
    <w:rsid w:val="0020328C"/>
    <w:rsid w:val="00203416"/>
    <w:rsid w:val="002034A1"/>
    <w:rsid w:val="00203554"/>
    <w:rsid w:val="0020357F"/>
    <w:rsid w:val="00203C10"/>
    <w:rsid w:val="00203D1C"/>
    <w:rsid w:val="00203FD8"/>
    <w:rsid w:val="0020401E"/>
    <w:rsid w:val="00204028"/>
    <w:rsid w:val="00204469"/>
    <w:rsid w:val="00204588"/>
    <w:rsid w:val="002047C6"/>
    <w:rsid w:val="00204803"/>
    <w:rsid w:val="002049C5"/>
    <w:rsid w:val="00204C37"/>
    <w:rsid w:val="00204F0F"/>
    <w:rsid w:val="00204FA2"/>
    <w:rsid w:val="002051C8"/>
    <w:rsid w:val="00205308"/>
    <w:rsid w:val="002055F7"/>
    <w:rsid w:val="002056E3"/>
    <w:rsid w:val="002058B7"/>
    <w:rsid w:val="00205934"/>
    <w:rsid w:val="00205ABC"/>
    <w:rsid w:val="00205F52"/>
    <w:rsid w:val="00206043"/>
    <w:rsid w:val="002060C7"/>
    <w:rsid w:val="0020617F"/>
    <w:rsid w:val="00206311"/>
    <w:rsid w:val="002063D9"/>
    <w:rsid w:val="002067A6"/>
    <w:rsid w:val="002067C8"/>
    <w:rsid w:val="0020681A"/>
    <w:rsid w:val="00206854"/>
    <w:rsid w:val="00206B31"/>
    <w:rsid w:val="00206D07"/>
    <w:rsid w:val="00206DDF"/>
    <w:rsid w:val="00206E95"/>
    <w:rsid w:val="00206FE8"/>
    <w:rsid w:val="0020754E"/>
    <w:rsid w:val="00207C4C"/>
    <w:rsid w:val="00207F43"/>
    <w:rsid w:val="00210061"/>
    <w:rsid w:val="0021021A"/>
    <w:rsid w:val="002106B0"/>
    <w:rsid w:val="002106F2"/>
    <w:rsid w:val="002108A0"/>
    <w:rsid w:val="00210A38"/>
    <w:rsid w:val="00210F5E"/>
    <w:rsid w:val="00210FCF"/>
    <w:rsid w:val="00211595"/>
    <w:rsid w:val="00211633"/>
    <w:rsid w:val="00211660"/>
    <w:rsid w:val="00211B69"/>
    <w:rsid w:val="00211EA1"/>
    <w:rsid w:val="00211EF7"/>
    <w:rsid w:val="00211EF8"/>
    <w:rsid w:val="00212472"/>
    <w:rsid w:val="002124FD"/>
    <w:rsid w:val="0021274F"/>
    <w:rsid w:val="00212860"/>
    <w:rsid w:val="00212985"/>
    <w:rsid w:val="00212B2A"/>
    <w:rsid w:val="00212C21"/>
    <w:rsid w:val="00212F73"/>
    <w:rsid w:val="002131BC"/>
    <w:rsid w:val="002134FC"/>
    <w:rsid w:val="00213601"/>
    <w:rsid w:val="002139B8"/>
    <w:rsid w:val="00213B9A"/>
    <w:rsid w:val="00213F58"/>
    <w:rsid w:val="00214001"/>
    <w:rsid w:val="00214397"/>
    <w:rsid w:val="0021451F"/>
    <w:rsid w:val="00214579"/>
    <w:rsid w:val="0021459A"/>
    <w:rsid w:val="00214916"/>
    <w:rsid w:val="00214A75"/>
    <w:rsid w:val="00214E2C"/>
    <w:rsid w:val="00214EB4"/>
    <w:rsid w:val="00215383"/>
    <w:rsid w:val="002157B3"/>
    <w:rsid w:val="002159D0"/>
    <w:rsid w:val="00215AB5"/>
    <w:rsid w:val="00215AB8"/>
    <w:rsid w:val="00216201"/>
    <w:rsid w:val="002164CE"/>
    <w:rsid w:val="002165D0"/>
    <w:rsid w:val="002167E5"/>
    <w:rsid w:val="00216842"/>
    <w:rsid w:val="00216894"/>
    <w:rsid w:val="002168CA"/>
    <w:rsid w:val="0021692E"/>
    <w:rsid w:val="00216AF8"/>
    <w:rsid w:val="00216B5D"/>
    <w:rsid w:val="00216C3A"/>
    <w:rsid w:val="00216E2A"/>
    <w:rsid w:val="00217029"/>
    <w:rsid w:val="002176B5"/>
    <w:rsid w:val="002178DA"/>
    <w:rsid w:val="002179C3"/>
    <w:rsid w:val="00217B5B"/>
    <w:rsid w:val="00217B7E"/>
    <w:rsid w:val="00217C96"/>
    <w:rsid w:val="00217E29"/>
    <w:rsid w:val="00220017"/>
    <w:rsid w:val="0022005E"/>
    <w:rsid w:val="00220121"/>
    <w:rsid w:val="00220295"/>
    <w:rsid w:val="002203F6"/>
    <w:rsid w:val="002204C9"/>
    <w:rsid w:val="002206B4"/>
    <w:rsid w:val="00220798"/>
    <w:rsid w:val="00220A90"/>
    <w:rsid w:val="00220E81"/>
    <w:rsid w:val="00220F65"/>
    <w:rsid w:val="00220FBD"/>
    <w:rsid w:val="0022116B"/>
    <w:rsid w:val="002212CB"/>
    <w:rsid w:val="00221615"/>
    <w:rsid w:val="0022162D"/>
    <w:rsid w:val="002216E9"/>
    <w:rsid w:val="0022179A"/>
    <w:rsid w:val="00221821"/>
    <w:rsid w:val="002219FA"/>
    <w:rsid w:val="00221B5A"/>
    <w:rsid w:val="00221BC2"/>
    <w:rsid w:val="00221E0A"/>
    <w:rsid w:val="00221E83"/>
    <w:rsid w:val="00221EA2"/>
    <w:rsid w:val="0022229D"/>
    <w:rsid w:val="002222F6"/>
    <w:rsid w:val="0022234C"/>
    <w:rsid w:val="0022246A"/>
    <w:rsid w:val="002226C2"/>
    <w:rsid w:val="00222720"/>
    <w:rsid w:val="002227C9"/>
    <w:rsid w:val="00222B29"/>
    <w:rsid w:val="00222B8B"/>
    <w:rsid w:val="00222D60"/>
    <w:rsid w:val="00222D9C"/>
    <w:rsid w:val="00222F44"/>
    <w:rsid w:val="002230C5"/>
    <w:rsid w:val="00223122"/>
    <w:rsid w:val="00223239"/>
    <w:rsid w:val="00223248"/>
    <w:rsid w:val="0022329C"/>
    <w:rsid w:val="002232D3"/>
    <w:rsid w:val="00223872"/>
    <w:rsid w:val="002239E5"/>
    <w:rsid w:val="00223A86"/>
    <w:rsid w:val="00223C7E"/>
    <w:rsid w:val="00223D00"/>
    <w:rsid w:val="002240B5"/>
    <w:rsid w:val="00224268"/>
    <w:rsid w:val="002242B2"/>
    <w:rsid w:val="002242CE"/>
    <w:rsid w:val="0022439F"/>
    <w:rsid w:val="002244AC"/>
    <w:rsid w:val="00224929"/>
    <w:rsid w:val="00224A9D"/>
    <w:rsid w:val="00224B87"/>
    <w:rsid w:val="00225062"/>
    <w:rsid w:val="00225306"/>
    <w:rsid w:val="002253F3"/>
    <w:rsid w:val="0022552E"/>
    <w:rsid w:val="00225570"/>
    <w:rsid w:val="002255AB"/>
    <w:rsid w:val="00225ADA"/>
    <w:rsid w:val="00225C14"/>
    <w:rsid w:val="00225EF9"/>
    <w:rsid w:val="00225F80"/>
    <w:rsid w:val="00226203"/>
    <w:rsid w:val="0022623F"/>
    <w:rsid w:val="00226519"/>
    <w:rsid w:val="00226A52"/>
    <w:rsid w:val="00226E49"/>
    <w:rsid w:val="00226E6B"/>
    <w:rsid w:val="002272F9"/>
    <w:rsid w:val="00227409"/>
    <w:rsid w:val="002276E2"/>
    <w:rsid w:val="002278CD"/>
    <w:rsid w:val="00227AD6"/>
    <w:rsid w:val="00227B57"/>
    <w:rsid w:val="00227B5D"/>
    <w:rsid w:val="002300FA"/>
    <w:rsid w:val="0023081C"/>
    <w:rsid w:val="00230831"/>
    <w:rsid w:val="00230866"/>
    <w:rsid w:val="00230B1F"/>
    <w:rsid w:val="00230B26"/>
    <w:rsid w:val="00230CDB"/>
    <w:rsid w:val="00230CFA"/>
    <w:rsid w:val="00230FC1"/>
    <w:rsid w:val="00231129"/>
    <w:rsid w:val="0023119A"/>
    <w:rsid w:val="002312FF"/>
    <w:rsid w:val="0023130A"/>
    <w:rsid w:val="002313E5"/>
    <w:rsid w:val="0023140C"/>
    <w:rsid w:val="002315D1"/>
    <w:rsid w:val="00231751"/>
    <w:rsid w:val="002317A1"/>
    <w:rsid w:val="00231841"/>
    <w:rsid w:val="00231A41"/>
    <w:rsid w:val="00231C51"/>
    <w:rsid w:val="00231EAB"/>
    <w:rsid w:val="00231EC8"/>
    <w:rsid w:val="00231EF5"/>
    <w:rsid w:val="002320CC"/>
    <w:rsid w:val="002321B2"/>
    <w:rsid w:val="002321FE"/>
    <w:rsid w:val="002323E9"/>
    <w:rsid w:val="0023249D"/>
    <w:rsid w:val="002324FB"/>
    <w:rsid w:val="0023273D"/>
    <w:rsid w:val="00232DDE"/>
    <w:rsid w:val="002331AE"/>
    <w:rsid w:val="00233271"/>
    <w:rsid w:val="002334AD"/>
    <w:rsid w:val="002335E9"/>
    <w:rsid w:val="0023371A"/>
    <w:rsid w:val="00233A09"/>
    <w:rsid w:val="00233C56"/>
    <w:rsid w:val="00233C5B"/>
    <w:rsid w:val="0023423A"/>
    <w:rsid w:val="002344C4"/>
    <w:rsid w:val="00234785"/>
    <w:rsid w:val="0023480E"/>
    <w:rsid w:val="00234B45"/>
    <w:rsid w:val="00234CC5"/>
    <w:rsid w:val="0023507E"/>
    <w:rsid w:val="00235221"/>
    <w:rsid w:val="002355D6"/>
    <w:rsid w:val="00235601"/>
    <w:rsid w:val="0023577A"/>
    <w:rsid w:val="002359BF"/>
    <w:rsid w:val="00235A80"/>
    <w:rsid w:val="00236202"/>
    <w:rsid w:val="002363D1"/>
    <w:rsid w:val="00236597"/>
    <w:rsid w:val="002365A3"/>
    <w:rsid w:val="002366E8"/>
    <w:rsid w:val="00236963"/>
    <w:rsid w:val="00236A89"/>
    <w:rsid w:val="00236A8A"/>
    <w:rsid w:val="00236BC3"/>
    <w:rsid w:val="00236FD4"/>
    <w:rsid w:val="002370EE"/>
    <w:rsid w:val="002373D1"/>
    <w:rsid w:val="002373DE"/>
    <w:rsid w:val="00237482"/>
    <w:rsid w:val="00237738"/>
    <w:rsid w:val="00237821"/>
    <w:rsid w:val="00237968"/>
    <w:rsid w:val="002379F9"/>
    <w:rsid w:val="00237A19"/>
    <w:rsid w:val="00237C72"/>
    <w:rsid w:val="00237C92"/>
    <w:rsid w:val="00237E0E"/>
    <w:rsid w:val="00237EF4"/>
    <w:rsid w:val="00237FA5"/>
    <w:rsid w:val="00240063"/>
    <w:rsid w:val="002403F9"/>
    <w:rsid w:val="002404FD"/>
    <w:rsid w:val="0024058C"/>
    <w:rsid w:val="002405CE"/>
    <w:rsid w:val="002405F5"/>
    <w:rsid w:val="002407A5"/>
    <w:rsid w:val="002408C7"/>
    <w:rsid w:val="00241027"/>
    <w:rsid w:val="00241765"/>
    <w:rsid w:val="00241ABA"/>
    <w:rsid w:val="00241D1E"/>
    <w:rsid w:val="002420AB"/>
    <w:rsid w:val="0024256B"/>
    <w:rsid w:val="002426EC"/>
    <w:rsid w:val="002427ED"/>
    <w:rsid w:val="00242ADB"/>
    <w:rsid w:val="00242D69"/>
    <w:rsid w:val="00242E00"/>
    <w:rsid w:val="00242E78"/>
    <w:rsid w:val="002433EC"/>
    <w:rsid w:val="002435AB"/>
    <w:rsid w:val="002435DD"/>
    <w:rsid w:val="00243738"/>
    <w:rsid w:val="00243BE1"/>
    <w:rsid w:val="00243C87"/>
    <w:rsid w:val="00244089"/>
    <w:rsid w:val="0024469C"/>
    <w:rsid w:val="002446F7"/>
    <w:rsid w:val="00244941"/>
    <w:rsid w:val="002449B0"/>
    <w:rsid w:val="002449BF"/>
    <w:rsid w:val="002449F3"/>
    <w:rsid w:val="00244B26"/>
    <w:rsid w:val="00244B3B"/>
    <w:rsid w:val="00244C75"/>
    <w:rsid w:val="00244C86"/>
    <w:rsid w:val="00244EA5"/>
    <w:rsid w:val="00244FDE"/>
    <w:rsid w:val="00245048"/>
    <w:rsid w:val="00245142"/>
    <w:rsid w:val="00245221"/>
    <w:rsid w:val="00245292"/>
    <w:rsid w:val="002452C0"/>
    <w:rsid w:val="002452C4"/>
    <w:rsid w:val="002453CB"/>
    <w:rsid w:val="00245467"/>
    <w:rsid w:val="0024588D"/>
    <w:rsid w:val="002458F5"/>
    <w:rsid w:val="00245DE2"/>
    <w:rsid w:val="00245E8D"/>
    <w:rsid w:val="00245F73"/>
    <w:rsid w:val="002462F1"/>
    <w:rsid w:val="002466BB"/>
    <w:rsid w:val="002466BE"/>
    <w:rsid w:val="00246786"/>
    <w:rsid w:val="00246816"/>
    <w:rsid w:val="002469DA"/>
    <w:rsid w:val="00246A8D"/>
    <w:rsid w:val="00246AC4"/>
    <w:rsid w:val="00246C7A"/>
    <w:rsid w:val="00246CB2"/>
    <w:rsid w:val="00246E54"/>
    <w:rsid w:val="00246FFF"/>
    <w:rsid w:val="00247013"/>
    <w:rsid w:val="002474A8"/>
    <w:rsid w:val="00247AA1"/>
    <w:rsid w:val="00247B33"/>
    <w:rsid w:val="00247B7A"/>
    <w:rsid w:val="002500CA"/>
    <w:rsid w:val="00250191"/>
    <w:rsid w:val="00250273"/>
    <w:rsid w:val="00250318"/>
    <w:rsid w:val="0025034D"/>
    <w:rsid w:val="002503D9"/>
    <w:rsid w:val="00250502"/>
    <w:rsid w:val="00250656"/>
    <w:rsid w:val="00250938"/>
    <w:rsid w:val="00250CA8"/>
    <w:rsid w:val="00250D05"/>
    <w:rsid w:val="00250F49"/>
    <w:rsid w:val="0025115C"/>
    <w:rsid w:val="00251350"/>
    <w:rsid w:val="00251483"/>
    <w:rsid w:val="002516F0"/>
    <w:rsid w:val="0025182E"/>
    <w:rsid w:val="00251843"/>
    <w:rsid w:val="00251DE1"/>
    <w:rsid w:val="00252224"/>
    <w:rsid w:val="002526DF"/>
    <w:rsid w:val="00252A5A"/>
    <w:rsid w:val="00252B24"/>
    <w:rsid w:val="00252DE4"/>
    <w:rsid w:val="00253098"/>
    <w:rsid w:val="002530BC"/>
    <w:rsid w:val="002530FE"/>
    <w:rsid w:val="002531F6"/>
    <w:rsid w:val="0025332F"/>
    <w:rsid w:val="002534CD"/>
    <w:rsid w:val="002537C8"/>
    <w:rsid w:val="00253937"/>
    <w:rsid w:val="00253A63"/>
    <w:rsid w:val="00253C42"/>
    <w:rsid w:val="00253C72"/>
    <w:rsid w:val="00253D1C"/>
    <w:rsid w:val="00253D63"/>
    <w:rsid w:val="00253D82"/>
    <w:rsid w:val="00253EB8"/>
    <w:rsid w:val="00254170"/>
    <w:rsid w:val="00254261"/>
    <w:rsid w:val="00254359"/>
    <w:rsid w:val="002544C8"/>
    <w:rsid w:val="00254A8A"/>
    <w:rsid w:val="00254A8D"/>
    <w:rsid w:val="00254C08"/>
    <w:rsid w:val="00254D91"/>
    <w:rsid w:val="00254F14"/>
    <w:rsid w:val="00254F6E"/>
    <w:rsid w:val="002550E6"/>
    <w:rsid w:val="00255138"/>
    <w:rsid w:val="00255296"/>
    <w:rsid w:val="00255411"/>
    <w:rsid w:val="00255550"/>
    <w:rsid w:val="0025555F"/>
    <w:rsid w:val="0025570A"/>
    <w:rsid w:val="00255864"/>
    <w:rsid w:val="002559A3"/>
    <w:rsid w:val="00255B51"/>
    <w:rsid w:val="00255BD0"/>
    <w:rsid w:val="00255D88"/>
    <w:rsid w:val="00256024"/>
    <w:rsid w:val="00256380"/>
    <w:rsid w:val="0025645F"/>
    <w:rsid w:val="00256542"/>
    <w:rsid w:val="002567FA"/>
    <w:rsid w:val="00256B41"/>
    <w:rsid w:val="00256F96"/>
    <w:rsid w:val="00256FAD"/>
    <w:rsid w:val="0025702D"/>
    <w:rsid w:val="00257350"/>
    <w:rsid w:val="0025746A"/>
    <w:rsid w:val="002575FA"/>
    <w:rsid w:val="00257F7E"/>
    <w:rsid w:val="0026001D"/>
    <w:rsid w:val="002600E4"/>
    <w:rsid w:val="0026052A"/>
    <w:rsid w:val="00260745"/>
    <w:rsid w:val="002608C5"/>
    <w:rsid w:val="00260A0C"/>
    <w:rsid w:val="00260C2E"/>
    <w:rsid w:val="00260DEA"/>
    <w:rsid w:val="00260EC8"/>
    <w:rsid w:val="00260F16"/>
    <w:rsid w:val="0026106B"/>
    <w:rsid w:val="002614A9"/>
    <w:rsid w:val="00261A39"/>
    <w:rsid w:val="00261C41"/>
    <w:rsid w:val="00261C72"/>
    <w:rsid w:val="00261EAF"/>
    <w:rsid w:val="0026212C"/>
    <w:rsid w:val="00262210"/>
    <w:rsid w:val="00262344"/>
    <w:rsid w:val="00262360"/>
    <w:rsid w:val="002623EA"/>
    <w:rsid w:val="002626F8"/>
    <w:rsid w:val="00262983"/>
    <w:rsid w:val="002629C2"/>
    <w:rsid w:val="002629C9"/>
    <w:rsid w:val="00262C4D"/>
    <w:rsid w:val="00262DBA"/>
    <w:rsid w:val="00262EA0"/>
    <w:rsid w:val="00263163"/>
    <w:rsid w:val="00263650"/>
    <w:rsid w:val="002636C3"/>
    <w:rsid w:val="002636D9"/>
    <w:rsid w:val="00263725"/>
    <w:rsid w:val="0026378D"/>
    <w:rsid w:val="0026389E"/>
    <w:rsid w:val="00263AC9"/>
    <w:rsid w:val="00263B72"/>
    <w:rsid w:val="0026422B"/>
    <w:rsid w:val="002642B5"/>
    <w:rsid w:val="00264414"/>
    <w:rsid w:val="0026447D"/>
    <w:rsid w:val="00264673"/>
    <w:rsid w:val="00264677"/>
    <w:rsid w:val="00264B02"/>
    <w:rsid w:val="00264BEB"/>
    <w:rsid w:val="00264E08"/>
    <w:rsid w:val="00264E61"/>
    <w:rsid w:val="00264F2E"/>
    <w:rsid w:val="00265096"/>
    <w:rsid w:val="00265470"/>
    <w:rsid w:val="002657C0"/>
    <w:rsid w:val="002663C9"/>
    <w:rsid w:val="002665AD"/>
    <w:rsid w:val="002667D4"/>
    <w:rsid w:val="00266B3B"/>
    <w:rsid w:val="002672BB"/>
    <w:rsid w:val="0026745E"/>
    <w:rsid w:val="00267552"/>
    <w:rsid w:val="0027017B"/>
    <w:rsid w:val="00270492"/>
    <w:rsid w:val="002704CD"/>
    <w:rsid w:val="002707D2"/>
    <w:rsid w:val="002707E6"/>
    <w:rsid w:val="00270A2B"/>
    <w:rsid w:val="00270B93"/>
    <w:rsid w:val="00270C63"/>
    <w:rsid w:val="00270CE3"/>
    <w:rsid w:val="00270D13"/>
    <w:rsid w:val="00270D5F"/>
    <w:rsid w:val="00270DC1"/>
    <w:rsid w:val="00270E10"/>
    <w:rsid w:val="0027112D"/>
    <w:rsid w:val="00271226"/>
    <w:rsid w:val="00271926"/>
    <w:rsid w:val="00271AFF"/>
    <w:rsid w:val="00271D57"/>
    <w:rsid w:val="00271D83"/>
    <w:rsid w:val="002721ED"/>
    <w:rsid w:val="00272212"/>
    <w:rsid w:val="002725C5"/>
    <w:rsid w:val="002728A9"/>
    <w:rsid w:val="002728C0"/>
    <w:rsid w:val="002729CB"/>
    <w:rsid w:val="00272C24"/>
    <w:rsid w:val="00272C3A"/>
    <w:rsid w:val="00272CAF"/>
    <w:rsid w:val="0027301A"/>
    <w:rsid w:val="002731AD"/>
    <w:rsid w:val="0027344E"/>
    <w:rsid w:val="0027355A"/>
    <w:rsid w:val="00273597"/>
    <w:rsid w:val="0027386A"/>
    <w:rsid w:val="00273FEC"/>
    <w:rsid w:val="0027417A"/>
    <w:rsid w:val="002743B8"/>
    <w:rsid w:val="00274443"/>
    <w:rsid w:val="0027461C"/>
    <w:rsid w:val="00274B75"/>
    <w:rsid w:val="00274B9F"/>
    <w:rsid w:val="00274DD0"/>
    <w:rsid w:val="00274DE3"/>
    <w:rsid w:val="00274E31"/>
    <w:rsid w:val="0027512E"/>
    <w:rsid w:val="002752DC"/>
    <w:rsid w:val="002753E1"/>
    <w:rsid w:val="002756DD"/>
    <w:rsid w:val="0027584D"/>
    <w:rsid w:val="00275C84"/>
    <w:rsid w:val="00275E2E"/>
    <w:rsid w:val="00276015"/>
    <w:rsid w:val="0027624B"/>
    <w:rsid w:val="002765C7"/>
    <w:rsid w:val="00276710"/>
    <w:rsid w:val="002768A3"/>
    <w:rsid w:val="00276AE6"/>
    <w:rsid w:val="00276B95"/>
    <w:rsid w:val="00276E3C"/>
    <w:rsid w:val="00276FD9"/>
    <w:rsid w:val="00277382"/>
    <w:rsid w:val="00277541"/>
    <w:rsid w:val="002775AF"/>
    <w:rsid w:val="0027764F"/>
    <w:rsid w:val="002776C3"/>
    <w:rsid w:val="00277753"/>
    <w:rsid w:val="00277853"/>
    <w:rsid w:val="0027790E"/>
    <w:rsid w:val="002779E5"/>
    <w:rsid w:val="00277B11"/>
    <w:rsid w:val="00277C9B"/>
    <w:rsid w:val="00277CAB"/>
    <w:rsid w:val="00277DB5"/>
    <w:rsid w:val="002808F8"/>
    <w:rsid w:val="00280A22"/>
    <w:rsid w:val="00280DBD"/>
    <w:rsid w:val="00281072"/>
    <w:rsid w:val="00281124"/>
    <w:rsid w:val="00281964"/>
    <w:rsid w:val="00281C6A"/>
    <w:rsid w:val="00281FCB"/>
    <w:rsid w:val="0028246F"/>
    <w:rsid w:val="0028259E"/>
    <w:rsid w:val="00282907"/>
    <w:rsid w:val="0028298C"/>
    <w:rsid w:val="00282A21"/>
    <w:rsid w:val="00282AA4"/>
    <w:rsid w:val="00282C65"/>
    <w:rsid w:val="00282D41"/>
    <w:rsid w:val="00283040"/>
    <w:rsid w:val="00283196"/>
    <w:rsid w:val="00283212"/>
    <w:rsid w:val="0028351D"/>
    <w:rsid w:val="002836C8"/>
    <w:rsid w:val="002838C2"/>
    <w:rsid w:val="00283928"/>
    <w:rsid w:val="00283A4B"/>
    <w:rsid w:val="00283D00"/>
    <w:rsid w:val="00283D2D"/>
    <w:rsid w:val="00283E2F"/>
    <w:rsid w:val="00283F81"/>
    <w:rsid w:val="00283FD9"/>
    <w:rsid w:val="002843F9"/>
    <w:rsid w:val="002844DD"/>
    <w:rsid w:val="00284514"/>
    <w:rsid w:val="00284797"/>
    <w:rsid w:val="00284904"/>
    <w:rsid w:val="00284B5A"/>
    <w:rsid w:val="00284BC7"/>
    <w:rsid w:val="00284D0A"/>
    <w:rsid w:val="00284D0B"/>
    <w:rsid w:val="00284D15"/>
    <w:rsid w:val="00284F85"/>
    <w:rsid w:val="002853E2"/>
    <w:rsid w:val="00285520"/>
    <w:rsid w:val="002858D4"/>
    <w:rsid w:val="002859AC"/>
    <w:rsid w:val="00285AAE"/>
    <w:rsid w:val="00285D8E"/>
    <w:rsid w:val="0028615D"/>
    <w:rsid w:val="002865BF"/>
    <w:rsid w:val="002869D9"/>
    <w:rsid w:val="00286A48"/>
    <w:rsid w:val="00286C90"/>
    <w:rsid w:val="00286D4D"/>
    <w:rsid w:val="00286ED3"/>
    <w:rsid w:val="00286FB6"/>
    <w:rsid w:val="00287058"/>
    <w:rsid w:val="002870D9"/>
    <w:rsid w:val="00287249"/>
    <w:rsid w:val="00287253"/>
    <w:rsid w:val="002873A4"/>
    <w:rsid w:val="002874CA"/>
    <w:rsid w:val="00287638"/>
    <w:rsid w:val="00287643"/>
    <w:rsid w:val="00287839"/>
    <w:rsid w:val="00287C15"/>
    <w:rsid w:val="00290041"/>
    <w:rsid w:val="00290250"/>
    <w:rsid w:val="002906A8"/>
    <w:rsid w:val="002906F8"/>
    <w:rsid w:val="00290777"/>
    <w:rsid w:val="00290939"/>
    <w:rsid w:val="00290C25"/>
    <w:rsid w:val="00291042"/>
    <w:rsid w:val="00291055"/>
    <w:rsid w:val="002912D9"/>
    <w:rsid w:val="00291936"/>
    <w:rsid w:val="00291A7E"/>
    <w:rsid w:val="00291A9C"/>
    <w:rsid w:val="00291B50"/>
    <w:rsid w:val="00291B6F"/>
    <w:rsid w:val="00291F73"/>
    <w:rsid w:val="00291F8C"/>
    <w:rsid w:val="0029212A"/>
    <w:rsid w:val="002923D4"/>
    <w:rsid w:val="002923E3"/>
    <w:rsid w:val="00292647"/>
    <w:rsid w:val="002926C0"/>
    <w:rsid w:val="002926D3"/>
    <w:rsid w:val="0029299B"/>
    <w:rsid w:val="00292AF0"/>
    <w:rsid w:val="002932A8"/>
    <w:rsid w:val="00293469"/>
    <w:rsid w:val="00293C13"/>
    <w:rsid w:val="00293C32"/>
    <w:rsid w:val="00293D7B"/>
    <w:rsid w:val="00293F80"/>
    <w:rsid w:val="00293F85"/>
    <w:rsid w:val="002940E3"/>
    <w:rsid w:val="00294503"/>
    <w:rsid w:val="00294551"/>
    <w:rsid w:val="00294A3D"/>
    <w:rsid w:val="00294D56"/>
    <w:rsid w:val="00294F3F"/>
    <w:rsid w:val="00295020"/>
    <w:rsid w:val="002950A6"/>
    <w:rsid w:val="00295232"/>
    <w:rsid w:val="002952DC"/>
    <w:rsid w:val="00295304"/>
    <w:rsid w:val="00295447"/>
    <w:rsid w:val="0029544D"/>
    <w:rsid w:val="0029557E"/>
    <w:rsid w:val="00295676"/>
    <w:rsid w:val="002956F5"/>
    <w:rsid w:val="00295735"/>
    <w:rsid w:val="00295813"/>
    <w:rsid w:val="00295AB2"/>
    <w:rsid w:val="00295C11"/>
    <w:rsid w:val="00295F8F"/>
    <w:rsid w:val="00296442"/>
    <w:rsid w:val="00296511"/>
    <w:rsid w:val="002966A3"/>
    <w:rsid w:val="00296731"/>
    <w:rsid w:val="00296793"/>
    <w:rsid w:val="0029698A"/>
    <w:rsid w:val="00296BF4"/>
    <w:rsid w:val="00296E25"/>
    <w:rsid w:val="00297097"/>
    <w:rsid w:val="002972D0"/>
    <w:rsid w:val="0029740F"/>
    <w:rsid w:val="0029747A"/>
    <w:rsid w:val="0029752C"/>
    <w:rsid w:val="00297D08"/>
    <w:rsid w:val="00297EF2"/>
    <w:rsid w:val="00297FB5"/>
    <w:rsid w:val="00297FE3"/>
    <w:rsid w:val="002A005D"/>
    <w:rsid w:val="002A0079"/>
    <w:rsid w:val="002A017E"/>
    <w:rsid w:val="002A0377"/>
    <w:rsid w:val="002A0699"/>
    <w:rsid w:val="002A097C"/>
    <w:rsid w:val="002A0F34"/>
    <w:rsid w:val="002A0F7E"/>
    <w:rsid w:val="002A107D"/>
    <w:rsid w:val="002A11A2"/>
    <w:rsid w:val="002A11C1"/>
    <w:rsid w:val="002A1374"/>
    <w:rsid w:val="002A163B"/>
    <w:rsid w:val="002A180C"/>
    <w:rsid w:val="002A1A5D"/>
    <w:rsid w:val="002A1EBB"/>
    <w:rsid w:val="002A2010"/>
    <w:rsid w:val="002A231B"/>
    <w:rsid w:val="002A2357"/>
    <w:rsid w:val="002A2481"/>
    <w:rsid w:val="002A24FB"/>
    <w:rsid w:val="002A2507"/>
    <w:rsid w:val="002A26F7"/>
    <w:rsid w:val="002A2703"/>
    <w:rsid w:val="002A2B15"/>
    <w:rsid w:val="002A2BFC"/>
    <w:rsid w:val="002A2CEF"/>
    <w:rsid w:val="002A2D84"/>
    <w:rsid w:val="002A2EB8"/>
    <w:rsid w:val="002A32DF"/>
    <w:rsid w:val="002A343B"/>
    <w:rsid w:val="002A35BC"/>
    <w:rsid w:val="002A36F4"/>
    <w:rsid w:val="002A3833"/>
    <w:rsid w:val="002A39A6"/>
    <w:rsid w:val="002A39D9"/>
    <w:rsid w:val="002A3A63"/>
    <w:rsid w:val="002A3AAB"/>
    <w:rsid w:val="002A3B2D"/>
    <w:rsid w:val="002A3C1F"/>
    <w:rsid w:val="002A3EB7"/>
    <w:rsid w:val="002A3EB8"/>
    <w:rsid w:val="002A40B1"/>
    <w:rsid w:val="002A42D5"/>
    <w:rsid w:val="002A43F1"/>
    <w:rsid w:val="002A4435"/>
    <w:rsid w:val="002A445E"/>
    <w:rsid w:val="002A4573"/>
    <w:rsid w:val="002A467E"/>
    <w:rsid w:val="002A4A49"/>
    <w:rsid w:val="002A4B79"/>
    <w:rsid w:val="002A4C9E"/>
    <w:rsid w:val="002A522D"/>
    <w:rsid w:val="002A523A"/>
    <w:rsid w:val="002A529A"/>
    <w:rsid w:val="002A56BC"/>
    <w:rsid w:val="002A59D0"/>
    <w:rsid w:val="002A5A58"/>
    <w:rsid w:val="002A5A61"/>
    <w:rsid w:val="002A5D26"/>
    <w:rsid w:val="002A5E43"/>
    <w:rsid w:val="002A5FBB"/>
    <w:rsid w:val="002A5FF1"/>
    <w:rsid w:val="002A602A"/>
    <w:rsid w:val="002A6327"/>
    <w:rsid w:val="002A64BE"/>
    <w:rsid w:val="002A68E7"/>
    <w:rsid w:val="002A68F4"/>
    <w:rsid w:val="002A6AF3"/>
    <w:rsid w:val="002A6C5E"/>
    <w:rsid w:val="002A7327"/>
    <w:rsid w:val="002A74F9"/>
    <w:rsid w:val="002A7A85"/>
    <w:rsid w:val="002A7B50"/>
    <w:rsid w:val="002A7C50"/>
    <w:rsid w:val="002A7CBA"/>
    <w:rsid w:val="002A7D53"/>
    <w:rsid w:val="002A7DA4"/>
    <w:rsid w:val="002A7EAA"/>
    <w:rsid w:val="002B017E"/>
    <w:rsid w:val="002B0260"/>
    <w:rsid w:val="002B04FE"/>
    <w:rsid w:val="002B054F"/>
    <w:rsid w:val="002B05F5"/>
    <w:rsid w:val="002B0BE4"/>
    <w:rsid w:val="002B0FEF"/>
    <w:rsid w:val="002B110E"/>
    <w:rsid w:val="002B131A"/>
    <w:rsid w:val="002B16C4"/>
    <w:rsid w:val="002B191E"/>
    <w:rsid w:val="002B1AAD"/>
    <w:rsid w:val="002B1C12"/>
    <w:rsid w:val="002B20D8"/>
    <w:rsid w:val="002B213A"/>
    <w:rsid w:val="002B21BB"/>
    <w:rsid w:val="002B21E5"/>
    <w:rsid w:val="002B22E9"/>
    <w:rsid w:val="002B244A"/>
    <w:rsid w:val="002B2979"/>
    <w:rsid w:val="002B2F1A"/>
    <w:rsid w:val="002B2F5D"/>
    <w:rsid w:val="002B2FA4"/>
    <w:rsid w:val="002B3051"/>
    <w:rsid w:val="002B3384"/>
    <w:rsid w:val="002B33C0"/>
    <w:rsid w:val="002B34D4"/>
    <w:rsid w:val="002B35D1"/>
    <w:rsid w:val="002B36D1"/>
    <w:rsid w:val="002B36EA"/>
    <w:rsid w:val="002B3871"/>
    <w:rsid w:val="002B3916"/>
    <w:rsid w:val="002B3D06"/>
    <w:rsid w:val="002B3D82"/>
    <w:rsid w:val="002B3E7E"/>
    <w:rsid w:val="002B3EA8"/>
    <w:rsid w:val="002B414D"/>
    <w:rsid w:val="002B4537"/>
    <w:rsid w:val="002B494A"/>
    <w:rsid w:val="002B4A84"/>
    <w:rsid w:val="002B4A94"/>
    <w:rsid w:val="002B4C6A"/>
    <w:rsid w:val="002B4D0F"/>
    <w:rsid w:val="002B4E1A"/>
    <w:rsid w:val="002B52C8"/>
    <w:rsid w:val="002B56D6"/>
    <w:rsid w:val="002B573A"/>
    <w:rsid w:val="002B5827"/>
    <w:rsid w:val="002B5DAF"/>
    <w:rsid w:val="002B5F65"/>
    <w:rsid w:val="002B5F6F"/>
    <w:rsid w:val="002B604D"/>
    <w:rsid w:val="002B61C8"/>
    <w:rsid w:val="002B6355"/>
    <w:rsid w:val="002B6371"/>
    <w:rsid w:val="002B651D"/>
    <w:rsid w:val="002B6525"/>
    <w:rsid w:val="002B6693"/>
    <w:rsid w:val="002B68F4"/>
    <w:rsid w:val="002B6B20"/>
    <w:rsid w:val="002B6C30"/>
    <w:rsid w:val="002B6E67"/>
    <w:rsid w:val="002B7009"/>
    <w:rsid w:val="002B70E7"/>
    <w:rsid w:val="002B737F"/>
    <w:rsid w:val="002B74E2"/>
    <w:rsid w:val="002B7647"/>
    <w:rsid w:val="002B7813"/>
    <w:rsid w:val="002B7981"/>
    <w:rsid w:val="002C0202"/>
    <w:rsid w:val="002C0329"/>
    <w:rsid w:val="002C034B"/>
    <w:rsid w:val="002C0697"/>
    <w:rsid w:val="002C088A"/>
    <w:rsid w:val="002C0890"/>
    <w:rsid w:val="002C0941"/>
    <w:rsid w:val="002C0B7C"/>
    <w:rsid w:val="002C13E9"/>
    <w:rsid w:val="002C14A5"/>
    <w:rsid w:val="002C14B2"/>
    <w:rsid w:val="002C1668"/>
    <w:rsid w:val="002C1769"/>
    <w:rsid w:val="002C18E7"/>
    <w:rsid w:val="002C1940"/>
    <w:rsid w:val="002C1AC4"/>
    <w:rsid w:val="002C222C"/>
    <w:rsid w:val="002C226E"/>
    <w:rsid w:val="002C23A9"/>
    <w:rsid w:val="002C2608"/>
    <w:rsid w:val="002C2844"/>
    <w:rsid w:val="002C2C2A"/>
    <w:rsid w:val="002C2D85"/>
    <w:rsid w:val="002C2EF6"/>
    <w:rsid w:val="002C2F51"/>
    <w:rsid w:val="002C3036"/>
    <w:rsid w:val="002C3090"/>
    <w:rsid w:val="002C3479"/>
    <w:rsid w:val="002C356F"/>
    <w:rsid w:val="002C3D6D"/>
    <w:rsid w:val="002C3DD5"/>
    <w:rsid w:val="002C3E44"/>
    <w:rsid w:val="002C3F9E"/>
    <w:rsid w:val="002C40E6"/>
    <w:rsid w:val="002C431F"/>
    <w:rsid w:val="002C459C"/>
    <w:rsid w:val="002C45A5"/>
    <w:rsid w:val="002C49DD"/>
    <w:rsid w:val="002C4B74"/>
    <w:rsid w:val="002C4BC8"/>
    <w:rsid w:val="002C4CE7"/>
    <w:rsid w:val="002C4E82"/>
    <w:rsid w:val="002C4EEC"/>
    <w:rsid w:val="002C4F27"/>
    <w:rsid w:val="002C50A1"/>
    <w:rsid w:val="002C5529"/>
    <w:rsid w:val="002C554F"/>
    <w:rsid w:val="002C55C0"/>
    <w:rsid w:val="002C5708"/>
    <w:rsid w:val="002C594D"/>
    <w:rsid w:val="002C5993"/>
    <w:rsid w:val="002C59CE"/>
    <w:rsid w:val="002C6140"/>
    <w:rsid w:val="002C6175"/>
    <w:rsid w:val="002C641B"/>
    <w:rsid w:val="002C661C"/>
    <w:rsid w:val="002C6654"/>
    <w:rsid w:val="002C680D"/>
    <w:rsid w:val="002C69B9"/>
    <w:rsid w:val="002C6FFD"/>
    <w:rsid w:val="002C702C"/>
    <w:rsid w:val="002C71CD"/>
    <w:rsid w:val="002C72F3"/>
    <w:rsid w:val="002C7941"/>
    <w:rsid w:val="002C7DFB"/>
    <w:rsid w:val="002C7F58"/>
    <w:rsid w:val="002D00BD"/>
    <w:rsid w:val="002D023F"/>
    <w:rsid w:val="002D03BA"/>
    <w:rsid w:val="002D04E8"/>
    <w:rsid w:val="002D0736"/>
    <w:rsid w:val="002D07E0"/>
    <w:rsid w:val="002D0C43"/>
    <w:rsid w:val="002D0DD4"/>
    <w:rsid w:val="002D0E71"/>
    <w:rsid w:val="002D0F30"/>
    <w:rsid w:val="002D1105"/>
    <w:rsid w:val="002D11A2"/>
    <w:rsid w:val="002D13F5"/>
    <w:rsid w:val="002D1682"/>
    <w:rsid w:val="002D172C"/>
    <w:rsid w:val="002D180D"/>
    <w:rsid w:val="002D1BD9"/>
    <w:rsid w:val="002D205A"/>
    <w:rsid w:val="002D2140"/>
    <w:rsid w:val="002D22B4"/>
    <w:rsid w:val="002D23ED"/>
    <w:rsid w:val="002D248F"/>
    <w:rsid w:val="002D2CCD"/>
    <w:rsid w:val="002D2E76"/>
    <w:rsid w:val="002D2F91"/>
    <w:rsid w:val="002D3684"/>
    <w:rsid w:val="002D3AA5"/>
    <w:rsid w:val="002D3AB1"/>
    <w:rsid w:val="002D3B53"/>
    <w:rsid w:val="002D3D6E"/>
    <w:rsid w:val="002D412D"/>
    <w:rsid w:val="002D41E4"/>
    <w:rsid w:val="002D420C"/>
    <w:rsid w:val="002D44C3"/>
    <w:rsid w:val="002D471F"/>
    <w:rsid w:val="002D4762"/>
    <w:rsid w:val="002D484E"/>
    <w:rsid w:val="002D4952"/>
    <w:rsid w:val="002D49A9"/>
    <w:rsid w:val="002D4C0D"/>
    <w:rsid w:val="002D4C28"/>
    <w:rsid w:val="002D4D5E"/>
    <w:rsid w:val="002D4F4A"/>
    <w:rsid w:val="002D4F7A"/>
    <w:rsid w:val="002D5500"/>
    <w:rsid w:val="002D5725"/>
    <w:rsid w:val="002D5755"/>
    <w:rsid w:val="002D58F6"/>
    <w:rsid w:val="002D5AD0"/>
    <w:rsid w:val="002D5AFE"/>
    <w:rsid w:val="002D5C71"/>
    <w:rsid w:val="002D5EF4"/>
    <w:rsid w:val="002D603F"/>
    <w:rsid w:val="002D6073"/>
    <w:rsid w:val="002D6136"/>
    <w:rsid w:val="002D6352"/>
    <w:rsid w:val="002D640B"/>
    <w:rsid w:val="002D6A24"/>
    <w:rsid w:val="002D6BDC"/>
    <w:rsid w:val="002D7075"/>
    <w:rsid w:val="002D71CB"/>
    <w:rsid w:val="002D72AF"/>
    <w:rsid w:val="002D745D"/>
    <w:rsid w:val="002D7924"/>
    <w:rsid w:val="002D7A35"/>
    <w:rsid w:val="002D7B73"/>
    <w:rsid w:val="002D7BAD"/>
    <w:rsid w:val="002E00FC"/>
    <w:rsid w:val="002E0196"/>
    <w:rsid w:val="002E02B9"/>
    <w:rsid w:val="002E058C"/>
    <w:rsid w:val="002E0CFF"/>
    <w:rsid w:val="002E0D6A"/>
    <w:rsid w:val="002E0D7B"/>
    <w:rsid w:val="002E0DF2"/>
    <w:rsid w:val="002E1105"/>
    <w:rsid w:val="002E1431"/>
    <w:rsid w:val="002E159C"/>
    <w:rsid w:val="002E15EF"/>
    <w:rsid w:val="002E1980"/>
    <w:rsid w:val="002E1D5E"/>
    <w:rsid w:val="002E1FAF"/>
    <w:rsid w:val="002E1FDA"/>
    <w:rsid w:val="002E2030"/>
    <w:rsid w:val="002E25D3"/>
    <w:rsid w:val="002E27B5"/>
    <w:rsid w:val="002E2CC3"/>
    <w:rsid w:val="002E2EC4"/>
    <w:rsid w:val="002E30FD"/>
    <w:rsid w:val="002E3398"/>
    <w:rsid w:val="002E35F6"/>
    <w:rsid w:val="002E367F"/>
    <w:rsid w:val="002E37C3"/>
    <w:rsid w:val="002E398D"/>
    <w:rsid w:val="002E3D6A"/>
    <w:rsid w:val="002E3DCD"/>
    <w:rsid w:val="002E3F2E"/>
    <w:rsid w:val="002E423D"/>
    <w:rsid w:val="002E4A93"/>
    <w:rsid w:val="002E4B47"/>
    <w:rsid w:val="002E4BDA"/>
    <w:rsid w:val="002E4E58"/>
    <w:rsid w:val="002E4FAF"/>
    <w:rsid w:val="002E502D"/>
    <w:rsid w:val="002E5453"/>
    <w:rsid w:val="002E5923"/>
    <w:rsid w:val="002E5ADB"/>
    <w:rsid w:val="002E5F79"/>
    <w:rsid w:val="002E61CE"/>
    <w:rsid w:val="002E621B"/>
    <w:rsid w:val="002E63F5"/>
    <w:rsid w:val="002E651C"/>
    <w:rsid w:val="002E67B6"/>
    <w:rsid w:val="002E6935"/>
    <w:rsid w:val="002E694A"/>
    <w:rsid w:val="002E6E82"/>
    <w:rsid w:val="002E6E8E"/>
    <w:rsid w:val="002E7520"/>
    <w:rsid w:val="002E7550"/>
    <w:rsid w:val="002E7733"/>
    <w:rsid w:val="002E7734"/>
    <w:rsid w:val="002E7780"/>
    <w:rsid w:val="002E79A1"/>
    <w:rsid w:val="002E7A89"/>
    <w:rsid w:val="002E7C32"/>
    <w:rsid w:val="002E7D22"/>
    <w:rsid w:val="002E7F50"/>
    <w:rsid w:val="002F0109"/>
    <w:rsid w:val="002F04AC"/>
    <w:rsid w:val="002F0567"/>
    <w:rsid w:val="002F05C3"/>
    <w:rsid w:val="002F0734"/>
    <w:rsid w:val="002F0824"/>
    <w:rsid w:val="002F0974"/>
    <w:rsid w:val="002F09D6"/>
    <w:rsid w:val="002F0A5B"/>
    <w:rsid w:val="002F0A87"/>
    <w:rsid w:val="002F0AD6"/>
    <w:rsid w:val="002F0B94"/>
    <w:rsid w:val="002F0C1D"/>
    <w:rsid w:val="002F0FB8"/>
    <w:rsid w:val="002F102E"/>
    <w:rsid w:val="002F10D9"/>
    <w:rsid w:val="002F144F"/>
    <w:rsid w:val="002F1880"/>
    <w:rsid w:val="002F1A60"/>
    <w:rsid w:val="002F1BEA"/>
    <w:rsid w:val="002F1E24"/>
    <w:rsid w:val="002F1E53"/>
    <w:rsid w:val="002F1FF5"/>
    <w:rsid w:val="002F2003"/>
    <w:rsid w:val="002F2280"/>
    <w:rsid w:val="002F2432"/>
    <w:rsid w:val="002F29E0"/>
    <w:rsid w:val="002F2A01"/>
    <w:rsid w:val="002F2B87"/>
    <w:rsid w:val="002F2BE1"/>
    <w:rsid w:val="002F2C0F"/>
    <w:rsid w:val="002F2DAB"/>
    <w:rsid w:val="002F2F9E"/>
    <w:rsid w:val="002F3222"/>
    <w:rsid w:val="002F336C"/>
    <w:rsid w:val="002F34C6"/>
    <w:rsid w:val="002F361A"/>
    <w:rsid w:val="002F3B42"/>
    <w:rsid w:val="002F3BF4"/>
    <w:rsid w:val="002F3CB1"/>
    <w:rsid w:val="002F3D0A"/>
    <w:rsid w:val="002F446E"/>
    <w:rsid w:val="002F4566"/>
    <w:rsid w:val="002F459A"/>
    <w:rsid w:val="002F46CA"/>
    <w:rsid w:val="002F470C"/>
    <w:rsid w:val="002F4B2F"/>
    <w:rsid w:val="002F4E05"/>
    <w:rsid w:val="002F4E6C"/>
    <w:rsid w:val="002F4EF8"/>
    <w:rsid w:val="002F501B"/>
    <w:rsid w:val="002F50CD"/>
    <w:rsid w:val="002F516B"/>
    <w:rsid w:val="002F518D"/>
    <w:rsid w:val="002F519C"/>
    <w:rsid w:val="002F5231"/>
    <w:rsid w:val="002F5612"/>
    <w:rsid w:val="002F5634"/>
    <w:rsid w:val="002F5669"/>
    <w:rsid w:val="002F5685"/>
    <w:rsid w:val="002F56B9"/>
    <w:rsid w:val="002F575C"/>
    <w:rsid w:val="002F5AC7"/>
    <w:rsid w:val="002F5B2B"/>
    <w:rsid w:val="002F5DB5"/>
    <w:rsid w:val="002F5E0F"/>
    <w:rsid w:val="002F5F4C"/>
    <w:rsid w:val="002F62F9"/>
    <w:rsid w:val="002F6433"/>
    <w:rsid w:val="002F6495"/>
    <w:rsid w:val="002F68A1"/>
    <w:rsid w:val="002F742F"/>
    <w:rsid w:val="002F74DB"/>
    <w:rsid w:val="002F798F"/>
    <w:rsid w:val="002F7A7C"/>
    <w:rsid w:val="002F7CA1"/>
    <w:rsid w:val="002F7E0B"/>
    <w:rsid w:val="0030001D"/>
    <w:rsid w:val="00300026"/>
    <w:rsid w:val="0030004A"/>
    <w:rsid w:val="00300068"/>
    <w:rsid w:val="0030043F"/>
    <w:rsid w:val="003004E2"/>
    <w:rsid w:val="00300561"/>
    <w:rsid w:val="00300582"/>
    <w:rsid w:val="00300B07"/>
    <w:rsid w:val="00300B7A"/>
    <w:rsid w:val="00300D08"/>
    <w:rsid w:val="00300D53"/>
    <w:rsid w:val="00300D6A"/>
    <w:rsid w:val="00300EA1"/>
    <w:rsid w:val="00301177"/>
    <w:rsid w:val="00301224"/>
    <w:rsid w:val="00301328"/>
    <w:rsid w:val="00301426"/>
    <w:rsid w:val="003014B8"/>
    <w:rsid w:val="003014E1"/>
    <w:rsid w:val="003016DF"/>
    <w:rsid w:val="0030177E"/>
    <w:rsid w:val="00301780"/>
    <w:rsid w:val="0030193F"/>
    <w:rsid w:val="003019A2"/>
    <w:rsid w:val="00301A3E"/>
    <w:rsid w:val="00301ABC"/>
    <w:rsid w:val="00301AC8"/>
    <w:rsid w:val="00301D7B"/>
    <w:rsid w:val="00301F56"/>
    <w:rsid w:val="003021C8"/>
    <w:rsid w:val="0030229F"/>
    <w:rsid w:val="003026F0"/>
    <w:rsid w:val="003029F2"/>
    <w:rsid w:val="00302AB5"/>
    <w:rsid w:val="00302EEF"/>
    <w:rsid w:val="00302FBB"/>
    <w:rsid w:val="00303284"/>
    <w:rsid w:val="003033EC"/>
    <w:rsid w:val="0030348D"/>
    <w:rsid w:val="00303551"/>
    <w:rsid w:val="0030383C"/>
    <w:rsid w:val="00303AE7"/>
    <w:rsid w:val="00303B43"/>
    <w:rsid w:val="00303C78"/>
    <w:rsid w:val="00303D8F"/>
    <w:rsid w:val="00303E28"/>
    <w:rsid w:val="00303ECA"/>
    <w:rsid w:val="00303F01"/>
    <w:rsid w:val="00304114"/>
    <w:rsid w:val="00304119"/>
    <w:rsid w:val="003041FB"/>
    <w:rsid w:val="00304312"/>
    <w:rsid w:val="003043D1"/>
    <w:rsid w:val="003045D6"/>
    <w:rsid w:val="00304723"/>
    <w:rsid w:val="003048A1"/>
    <w:rsid w:val="003048DD"/>
    <w:rsid w:val="00304B0A"/>
    <w:rsid w:val="00304C49"/>
    <w:rsid w:val="00304C8F"/>
    <w:rsid w:val="00305070"/>
    <w:rsid w:val="0030509E"/>
    <w:rsid w:val="00305148"/>
    <w:rsid w:val="003051A0"/>
    <w:rsid w:val="0030572C"/>
    <w:rsid w:val="00305D13"/>
    <w:rsid w:val="00305D3E"/>
    <w:rsid w:val="00305D6C"/>
    <w:rsid w:val="00306141"/>
    <w:rsid w:val="00306220"/>
    <w:rsid w:val="003063A8"/>
    <w:rsid w:val="003064BE"/>
    <w:rsid w:val="00306845"/>
    <w:rsid w:val="00306859"/>
    <w:rsid w:val="00306C95"/>
    <w:rsid w:val="00306D1A"/>
    <w:rsid w:val="00306D76"/>
    <w:rsid w:val="00306E2D"/>
    <w:rsid w:val="00306ED8"/>
    <w:rsid w:val="0030780E"/>
    <w:rsid w:val="00307874"/>
    <w:rsid w:val="00307AEC"/>
    <w:rsid w:val="00307DE5"/>
    <w:rsid w:val="00307EEA"/>
    <w:rsid w:val="00310048"/>
    <w:rsid w:val="0031043A"/>
    <w:rsid w:val="003104BE"/>
    <w:rsid w:val="0031051A"/>
    <w:rsid w:val="003105D6"/>
    <w:rsid w:val="00310809"/>
    <w:rsid w:val="00310A08"/>
    <w:rsid w:val="00310D71"/>
    <w:rsid w:val="00310D92"/>
    <w:rsid w:val="00311003"/>
    <w:rsid w:val="0031114E"/>
    <w:rsid w:val="003113D6"/>
    <w:rsid w:val="003114A9"/>
    <w:rsid w:val="0031167F"/>
    <w:rsid w:val="0031197D"/>
    <w:rsid w:val="00311A3B"/>
    <w:rsid w:val="00311CA0"/>
    <w:rsid w:val="00311D77"/>
    <w:rsid w:val="00311FC6"/>
    <w:rsid w:val="00312257"/>
    <w:rsid w:val="0031225A"/>
    <w:rsid w:val="0031229C"/>
    <w:rsid w:val="00312511"/>
    <w:rsid w:val="00312732"/>
    <w:rsid w:val="00312935"/>
    <w:rsid w:val="0031298A"/>
    <w:rsid w:val="00312B2C"/>
    <w:rsid w:val="00312F0B"/>
    <w:rsid w:val="00312F18"/>
    <w:rsid w:val="00312F80"/>
    <w:rsid w:val="003130A1"/>
    <w:rsid w:val="003131DD"/>
    <w:rsid w:val="003131EB"/>
    <w:rsid w:val="003132A9"/>
    <w:rsid w:val="003133E9"/>
    <w:rsid w:val="00313419"/>
    <w:rsid w:val="00313734"/>
    <w:rsid w:val="00313743"/>
    <w:rsid w:val="00313A79"/>
    <w:rsid w:val="00314279"/>
    <w:rsid w:val="003142EA"/>
    <w:rsid w:val="003148B6"/>
    <w:rsid w:val="00314966"/>
    <w:rsid w:val="0031499D"/>
    <w:rsid w:val="003149FC"/>
    <w:rsid w:val="00314F94"/>
    <w:rsid w:val="0031529B"/>
    <w:rsid w:val="0031549A"/>
    <w:rsid w:val="0031552E"/>
    <w:rsid w:val="0031557C"/>
    <w:rsid w:val="003156D4"/>
    <w:rsid w:val="003157D9"/>
    <w:rsid w:val="00315C70"/>
    <w:rsid w:val="00315DE3"/>
    <w:rsid w:val="00315EB7"/>
    <w:rsid w:val="00315F14"/>
    <w:rsid w:val="0031601E"/>
    <w:rsid w:val="003161DA"/>
    <w:rsid w:val="003165CD"/>
    <w:rsid w:val="0031661C"/>
    <w:rsid w:val="003166FD"/>
    <w:rsid w:val="00316C2E"/>
    <w:rsid w:val="00316C6D"/>
    <w:rsid w:val="00316D50"/>
    <w:rsid w:val="00316E44"/>
    <w:rsid w:val="00316F5E"/>
    <w:rsid w:val="0031710A"/>
    <w:rsid w:val="003172D0"/>
    <w:rsid w:val="0031735C"/>
    <w:rsid w:val="003174EF"/>
    <w:rsid w:val="00317638"/>
    <w:rsid w:val="00317668"/>
    <w:rsid w:val="0031798F"/>
    <w:rsid w:val="00317C2D"/>
    <w:rsid w:val="00317E70"/>
    <w:rsid w:val="0032017B"/>
    <w:rsid w:val="0032041F"/>
    <w:rsid w:val="003204D3"/>
    <w:rsid w:val="0032050C"/>
    <w:rsid w:val="00320786"/>
    <w:rsid w:val="0032079A"/>
    <w:rsid w:val="00320AC6"/>
    <w:rsid w:val="00320C5A"/>
    <w:rsid w:val="00321584"/>
    <w:rsid w:val="00321A1F"/>
    <w:rsid w:val="00321AE7"/>
    <w:rsid w:val="00321B31"/>
    <w:rsid w:val="00321B5A"/>
    <w:rsid w:val="00321B91"/>
    <w:rsid w:val="00321C17"/>
    <w:rsid w:val="00321C42"/>
    <w:rsid w:val="00321DCD"/>
    <w:rsid w:val="00322030"/>
    <w:rsid w:val="0032213F"/>
    <w:rsid w:val="0032229D"/>
    <w:rsid w:val="0032236C"/>
    <w:rsid w:val="00322581"/>
    <w:rsid w:val="003226CB"/>
    <w:rsid w:val="00322BAA"/>
    <w:rsid w:val="003231C8"/>
    <w:rsid w:val="003231CA"/>
    <w:rsid w:val="003231E8"/>
    <w:rsid w:val="0032326A"/>
    <w:rsid w:val="003235E1"/>
    <w:rsid w:val="003237FA"/>
    <w:rsid w:val="00323800"/>
    <w:rsid w:val="00323C15"/>
    <w:rsid w:val="00323C24"/>
    <w:rsid w:val="00323E67"/>
    <w:rsid w:val="0032424A"/>
    <w:rsid w:val="003242C3"/>
    <w:rsid w:val="0032442D"/>
    <w:rsid w:val="0032456A"/>
    <w:rsid w:val="003249BB"/>
    <w:rsid w:val="00324D03"/>
    <w:rsid w:val="00324EF9"/>
    <w:rsid w:val="0032509C"/>
    <w:rsid w:val="003250F6"/>
    <w:rsid w:val="00325123"/>
    <w:rsid w:val="0032512C"/>
    <w:rsid w:val="003251EF"/>
    <w:rsid w:val="00325597"/>
    <w:rsid w:val="00325614"/>
    <w:rsid w:val="00325823"/>
    <w:rsid w:val="0032582B"/>
    <w:rsid w:val="00325872"/>
    <w:rsid w:val="003258EB"/>
    <w:rsid w:val="00325AB2"/>
    <w:rsid w:val="00325D2E"/>
    <w:rsid w:val="00325DA2"/>
    <w:rsid w:val="003262B2"/>
    <w:rsid w:val="00326496"/>
    <w:rsid w:val="0032666D"/>
    <w:rsid w:val="0032688B"/>
    <w:rsid w:val="003268C7"/>
    <w:rsid w:val="00326D07"/>
    <w:rsid w:val="00326D16"/>
    <w:rsid w:val="003271AC"/>
    <w:rsid w:val="003272E4"/>
    <w:rsid w:val="00327441"/>
    <w:rsid w:val="00327512"/>
    <w:rsid w:val="00327685"/>
    <w:rsid w:val="00327AE1"/>
    <w:rsid w:val="00327C03"/>
    <w:rsid w:val="003300A2"/>
    <w:rsid w:val="00330111"/>
    <w:rsid w:val="0033013A"/>
    <w:rsid w:val="003302D6"/>
    <w:rsid w:val="003303D4"/>
    <w:rsid w:val="0033066A"/>
    <w:rsid w:val="00330826"/>
    <w:rsid w:val="00330973"/>
    <w:rsid w:val="003309CA"/>
    <w:rsid w:val="00330E76"/>
    <w:rsid w:val="00331087"/>
    <w:rsid w:val="00331824"/>
    <w:rsid w:val="00331969"/>
    <w:rsid w:val="00331A83"/>
    <w:rsid w:val="00331C94"/>
    <w:rsid w:val="0033216D"/>
    <w:rsid w:val="00332188"/>
    <w:rsid w:val="003322BA"/>
    <w:rsid w:val="003322D4"/>
    <w:rsid w:val="003323EC"/>
    <w:rsid w:val="003329E3"/>
    <w:rsid w:val="00332AF0"/>
    <w:rsid w:val="00332B9F"/>
    <w:rsid w:val="00332DC3"/>
    <w:rsid w:val="0033370E"/>
    <w:rsid w:val="00333D7F"/>
    <w:rsid w:val="00333E6F"/>
    <w:rsid w:val="0033427F"/>
    <w:rsid w:val="003344BC"/>
    <w:rsid w:val="00334660"/>
    <w:rsid w:val="00334758"/>
    <w:rsid w:val="00334761"/>
    <w:rsid w:val="00334B0E"/>
    <w:rsid w:val="0033502F"/>
    <w:rsid w:val="003350E8"/>
    <w:rsid w:val="00335208"/>
    <w:rsid w:val="0033538C"/>
    <w:rsid w:val="003359CE"/>
    <w:rsid w:val="00335A44"/>
    <w:rsid w:val="00335ADD"/>
    <w:rsid w:val="00335BA0"/>
    <w:rsid w:val="00335C31"/>
    <w:rsid w:val="00335C9B"/>
    <w:rsid w:val="00335CF0"/>
    <w:rsid w:val="00335D92"/>
    <w:rsid w:val="00335DF9"/>
    <w:rsid w:val="00335F4A"/>
    <w:rsid w:val="0033640F"/>
    <w:rsid w:val="0033657F"/>
    <w:rsid w:val="0033669A"/>
    <w:rsid w:val="003367F7"/>
    <w:rsid w:val="00336992"/>
    <w:rsid w:val="00336AA7"/>
    <w:rsid w:val="00336B16"/>
    <w:rsid w:val="00336CDD"/>
    <w:rsid w:val="00336D96"/>
    <w:rsid w:val="00336ECA"/>
    <w:rsid w:val="003375BD"/>
    <w:rsid w:val="00337634"/>
    <w:rsid w:val="00337854"/>
    <w:rsid w:val="003379CD"/>
    <w:rsid w:val="00337ACB"/>
    <w:rsid w:val="00337EE3"/>
    <w:rsid w:val="00340226"/>
    <w:rsid w:val="0034040F"/>
    <w:rsid w:val="003404B6"/>
    <w:rsid w:val="003407AF"/>
    <w:rsid w:val="00340A90"/>
    <w:rsid w:val="00340AB7"/>
    <w:rsid w:val="00340B45"/>
    <w:rsid w:val="00340C34"/>
    <w:rsid w:val="00340D3D"/>
    <w:rsid w:val="00340DF1"/>
    <w:rsid w:val="00340F32"/>
    <w:rsid w:val="003410C7"/>
    <w:rsid w:val="003411B7"/>
    <w:rsid w:val="003414D0"/>
    <w:rsid w:val="003416A3"/>
    <w:rsid w:val="00341B54"/>
    <w:rsid w:val="00341C98"/>
    <w:rsid w:val="00341E26"/>
    <w:rsid w:val="00341EA3"/>
    <w:rsid w:val="00341FE3"/>
    <w:rsid w:val="00342266"/>
    <w:rsid w:val="003422E5"/>
    <w:rsid w:val="00342531"/>
    <w:rsid w:val="0034253B"/>
    <w:rsid w:val="0034258E"/>
    <w:rsid w:val="00342D97"/>
    <w:rsid w:val="00342E74"/>
    <w:rsid w:val="00342F75"/>
    <w:rsid w:val="00342FD3"/>
    <w:rsid w:val="00343059"/>
    <w:rsid w:val="0034322A"/>
    <w:rsid w:val="003432F7"/>
    <w:rsid w:val="00343344"/>
    <w:rsid w:val="0034373B"/>
    <w:rsid w:val="003437D3"/>
    <w:rsid w:val="003437EF"/>
    <w:rsid w:val="0034394B"/>
    <w:rsid w:val="00343A71"/>
    <w:rsid w:val="00343D1C"/>
    <w:rsid w:val="00344031"/>
    <w:rsid w:val="00344073"/>
    <w:rsid w:val="0034418F"/>
    <w:rsid w:val="00344223"/>
    <w:rsid w:val="003442C4"/>
    <w:rsid w:val="00344491"/>
    <w:rsid w:val="003447CD"/>
    <w:rsid w:val="00344BA6"/>
    <w:rsid w:val="00344FE9"/>
    <w:rsid w:val="003450BA"/>
    <w:rsid w:val="003452C9"/>
    <w:rsid w:val="0034538D"/>
    <w:rsid w:val="003453AD"/>
    <w:rsid w:val="003454DD"/>
    <w:rsid w:val="003454ED"/>
    <w:rsid w:val="0034563F"/>
    <w:rsid w:val="00345729"/>
    <w:rsid w:val="00345740"/>
    <w:rsid w:val="003459A1"/>
    <w:rsid w:val="00345ABB"/>
    <w:rsid w:val="00345B40"/>
    <w:rsid w:val="00345BB9"/>
    <w:rsid w:val="00345BC0"/>
    <w:rsid w:val="00345BEE"/>
    <w:rsid w:val="00345C92"/>
    <w:rsid w:val="00345D75"/>
    <w:rsid w:val="003461F6"/>
    <w:rsid w:val="00346214"/>
    <w:rsid w:val="003462A9"/>
    <w:rsid w:val="0034642C"/>
    <w:rsid w:val="00346BF3"/>
    <w:rsid w:val="0034701F"/>
    <w:rsid w:val="003470CA"/>
    <w:rsid w:val="003471DB"/>
    <w:rsid w:val="00347638"/>
    <w:rsid w:val="00347A37"/>
    <w:rsid w:val="00347B0D"/>
    <w:rsid w:val="00347BE0"/>
    <w:rsid w:val="00347EE2"/>
    <w:rsid w:val="003505B7"/>
    <w:rsid w:val="0035060A"/>
    <w:rsid w:val="00350A55"/>
    <w:rsid w:val="00350D5A"/>
    <w:rsid w:val="00351276"/>
    <w:rsid w:val="003513A5"/>
    <w:rsid w:val="003514C1"/>
    <w:rsid w:val="003519FE"/>
    <w:rsid w:val="00351A26"/>
    <w:rsid w:val="00351A5A"/>
    <w:rsid w:val="00351AA5"/>
    <w:rsid w:val="00351B38"/>
    <w:rsid w:val="00351E28"/>
    <w:rsid w:val="00351F30"/>
    <w:rsid w:val="00351FD2"/>
    <w:rsid w:val="0035273A"/>
    <w:rsid w:val="00352796"/>
    <w:rsid w:val="00352875"/>
    <w:rsid w:val="00352A00"/>
    <w:rsid w:val="00352A6F"/>
    <w:rsid w:val="003536C3"/>
    <w:rsid w:val="003537B8"/>
    <w:rsid w:val="00353AAF"/>
    <w:rsid w:val="00353F6C"/>
    <w:rsid w:val="0035442D"/>
    <w:rsid w:val="003544B7"/>
    <w:rsid w:val="0035469C"/>
    <w:rsid w:val="003546CE"/>
    <w:rsid w:val="00354906"/>
    <w:rsid w:val="00354A00"/>
    <w:rsid w:val="00354A33"/>
    <w:rsid w:val="00354A78"/>
    <w:rsid w:val="00354AD8"/>
    <w:rsid w:val="00354B29"/>
    <w:rsid w:val="00354DEA"/>
    <w:rsid w:val="00354F62"/>
    <w:rsid w:val="00354F84"/>
    <w:rsid w:val="00354FD0"/>
    <w:rsid w:val="00355229"/>
    <w:rsid w:val="003556D6"/>
    <w:rsid w:val="00355814"/>
    <w:rsid w:val="003558A9"/>
    <w:rsid w:val="00355A1D"/>
    <w:rsid w:val="00355B16"/>
    <w:rsid w:val="00355C00"/>
    <w:rsid w:val="00355C45"/>
    <w:rsid w:val="003560C8"/>
    <w:rsid w:val="0035633C"/>
    <w:rsid w:val="0035644E"/>
    <w:rsid w:val="003566ED"/>
    <w:rsid w:val="00356787"/>
    <w:rsid w:val="003568C3"/>
    <w:rsid w:val="00356D84"/>
    <w:rsid w:val="00356E01"/>
    <w:rsid w:val="00356EFD"/>
    <w:rsid w:val="00357050"/>
    <w:rsid w:val="00357065"/>
    <w:rsid w:val="00357072"/>
    <w:rsid w:val="00357075"/>
    <w:rsid w:val="0035727F"/>
    <w:rsid w:val="003573B9"/>
    <w:rsid w:val="00357544"/>
    <w:rsid w:val="0035793A"/>
    <w:rsid w:val="00357956"/>
    <w:rsid w:val="0035795F"/>
    <w:rsid w:val="00357974"/>
    <w:rsid w:val="00357A3D"/>
    <w:rsid w:val="00357B05"/>
    <w:rsid w:val="00357C12"/>
    <w:rsid w:val="00357FD3"/>
    <w:rsid w:val="00360289"/>
    <w:rsid w:val="00360371"/>
    <w:rsid w:val="0036046E"/>
    <w:rsid w:val="0036065D"/>
    <w:rsid w:val="00360945"/>
    <w:rsid w:val="00360AC8"/>
    <w:rsid w:val="00360C8D"/>
    <w:rsid w:val="00360CEA"/>
    <w:rsid w:val="00360DB2"/>
    <w:rsid w:val="00361010"/>
    <w:rsid w:val="0036132A"/>
    <w:rsid w:val="00361383"/>
    <w:rsid w:val="00361403"/>
    <w:rsid w:val="00361A5F"/>
    <w:rsid w:val="00361C11"/>
    <w:rsid w:val="00361C3A"/>
    <w:rsid w:val="00361DB8"/>
    <w:rsid w:val="00361DEB"/>
    <w:rsid w:val="00362216"/>
    <w:rsid w:val="003622A3"/>
    <w:rsid w:val="00362662"/>
    <w:rsid w:val="00362775"/>
    <w:rsid w:val="00362DDC"/>
    <w:rsid w:val="00362EE3"/>
    <w:rsid w:val="003630CA"/>
    <w:rsid w:val="00363278"/>
    <w:rsid w:val="00363330"/>
    <w:rsid w:val="00363628"/>
    <w:rsid w:val="00363678"/>
    <w:rsid w:val="003638B4"/>
    <w:rsid w:val="00363B04"/>
    <w:rsid w:val="00363DF6"/>
    <w:rsid w:val="0036401D"/>
    <w:rsid w:val="003640DF"/>
    <w:rsid w:val="00364130"/>
    <w:rsid w:val="00364274"/>
    <w:rsid w:val="003644BC"/>
    <w:rsid w:val="00364698"/>
    <w:rsid w:val="00364950"/>
    <w:rsid w:val="00364B97"/>
    <w:rsid w:val="00364C59"/>
    <w:rsid w:val="00364E99"/>
    <w:rsid w:val="00365086"/>
    <w:rsid w:val="003650DE"/>
    <w:rsid w:val="003650EE"/>
    <w:rsid w:val="0036548F"/>
    <w:rsid w:val="003656A7"/>
    <w:rsid w:val="00365803"/>
    <w:rsid w:val="0036585A"/>
    <w:rsid w:val="00365B01"/>
    <w:rsid w:val="00365E4F"/>
    <w:rsid w:val="00365E51"/>
    <w:rsid w:val="00366558"/>
    <w:rsid w:val="00366603"/>
    <w:rsid w:val="0036666E"/>
    <w:rsid w:val="003667F3"/>
    <w:rsid w:val="00366A1A"/>
    <w:rsid w:val="00366C8C"/>
    <w:rsid w:val="00366DA6"/>
    <w:rsid w:val="00366E7D"/>
    <w:rsid w:val="0036701C"/>
    <w:rsid w:val="003672AA"/>
    <w:rsid w:val="003676E0"/>
    <w:rsid w:val="003678B7"/>
    <w:rsid w:val="00367901"/>
    <w:rsid w:val="00367A1D"/>
    <w:rsid w:val="00367BA1"/>
    <w:rsid w:val="00367DE3"/>
    <w:rsid w:val="00367EFD"/>
    <w:rsid w:val="00367F76"/>
    <w:rsid w:val="00370794"/>
    <w:rsid w:val="003709E4"/>
    <w:rsid w:val="00370CF9"/>
    <w:rsid w:val="00370D98"/>
    <w:rsid w:val="00370DA8"/>
    <w:rsid w:val="00370FC7"/>
    <w:rsid w:val="00371600"/>
    <w:rsid w:val="0037185A"/>
    <w:rsid w:val="003718E9"/>
    <w:rsid w:val="00371B17"/>
    <w:rsid w:val="00371DB1"/>
    <w:rsid w:val="00371EBD"/>
    <w:rsid w:val="00371F69"/>
    <w:rsid w:val="00371F77"/>
    <w:rsid w:val="003725B3"/>
    <w:rsid w:val="00372699"/>
    <w:rsid w:val="00372AF2"/>
    <w:rsid w:val="00372C5A"/>
    <w:rsid w:val="00372CC6"/>
    <w:rsid w:val="00372E15"/>
    <w:rsid w:val="00372EA3"/>
    <w:rsid w:val="00373350"/>
    <w:rsid w:val="0037344D"/>
    <w:rsid w:val="003735A6"/>
    <w:rsid w:val="00373885"/>
    <w:rsid w:val="00373BC6"/>
    <w:rsid w:val="00373CBE"/>
    <w:rsid w:val="00373F64"/>
    <w:rsid w:val="00374343"/>
    <w:rsid w:val="003743A2"/>
    <w:rsid w:val="00374580"/>
    <w:rsid w:val="003747CA"/>
    <w:rsid w:val="003748D2"/>
    <w:rsid w:val="00374C79"/>
    <w:rsid w:val="0037504A"/>
    <w:rsid w:val="003750A6"/>
    <w:rsid w:val="003754FB"/>
    <w:rsid w:val="0037550F"/>
    <w:rsid w:val="0037556E"/>
    <w:rsid w:val="00375615"/>
    <w:rsid w:val="003756A0"/>
    <w:rsid w:val="00375717"/>
    <w:rsid w:val="00375A52"/>
    <w:rsid w:val="00375D99"/>
    <w:rsid w:val="00375E24"/>
    <w:rsid w:val="00375E36"/>
    <w:rsid w:val="00375E3C"/>
    <w:rsid w:val="0037606D"/>
    <w:rsid w:val="00376136"/>
    <w:rsid w:val="00376338"/>
    <w:rsid w:val="003766F9"/>
    <w:rsid w:val="00376793"/>
    <w:rsid w:val="003767BA"/>
    <w:rsid w:val="00376A4A"/>
    <w:rsid w:val="00376BFD"/>
    <w:rsid w:val="00376F9D"/>
    <w:rsid w:val="003770F4"/>
    <w:rsid w:val="0037721B"/>
    <w:rsid w:val="0037722B"/>
    <w:rsid w:val="003773ED"/>
    <w:rsid w:val="00377417"/>
    <w:rsid w:val="0037753B"/>
    <w:rsid w:val="003776CF"/>
    <w:rsid w:val="003776FC"/>
    <w:rsid w:val="00377860"/>
    <w:rsid w:val="00377982"/>
    <w:rsid w:val="00377BD3"/>
    <w:rsid w:val="00377DA5"/>
    <w:rsid w:val="00377E2F"/>
    <w:rsid w:val="00377E8D"/>
    <w:rsid w:val="00377F2C"/>
    <w:rsid w:val="00377F96"/>
    <w:rsid w:val="00380014"/>
    <w:rsid w:val="00380CD9"/>
    <w:rsid w:val="003813A8"/>
    <w:rsid w:val="00381D95"/>
    <w:rsid w:val="00381E50"/>
    <w:rsid w:val="0038269C"/>
    <w:rsid w:val="00382718"/>
    <w:rsid w:val="00382C66"/>
    <w:rsid w:val="00382D60"/>
    <w:rsid w:val="00382F74"/>
    <w:rsid w:val="003831C0"/>
    <w:rsid w:val="00383390"/>
    <w:rsid w:val="003835E7"/>
    <w:rsid w:val="003836A9"/>
    <w:rsid w:val="0038371A"/>
    <w:rsid w:val="003839E3"/>
    <w:rsid w:val="00383BC7"/>
    <w:rsid w:val="00383C66"/>
    <w:rsid w:val="00383D87"/>
    <w:rsid w:val="00383F9C"/>
    <w:rsid w:val="0038403C"/>
    <w:rsid w:val="003840EB"/>
    <w:rsid w:val="003841CE"/>
    <w:rsid w:val="003843E9"/>
    <w:rsid w:val="003843FD"/>
    <w:rsid w:val="003844A2"/>
    <w:rsid w:val="00384646"/>
    <w:rsid w:val="003847A3"/>
    <w:rsid w:val="00384935"/>
    <w:rsid w:val="003849B7"/>
    <w:rsid w:val="00384A74"/>
    <w:rsid w:val="00384B48"/>
    <w:rsid w:val="00384BF6"/>
    <w:rsid w:val="00384E44"/>
    <w:rsid w:val="00384FF9"/>
    <w:rsid w:val="003854DC"/>
    <w:rsid w:val="00385528"/>
    <w:rsid w:val="00385603"/>
    <w:rsid w:val="00385685"/>
    <w:rsid w:val="003857CC"/>
    <w:rsid w:val="00385887"/>
    <w:rsid w:val="003858CB"/>
    <w:rsid w:val="00385A6F"/>
    <w:rsid w:val="00385E1F"/>
    <w:rsid w:val="00385E45"/>
    <w:rsid w:val="0038614F"/>
    <w:rsid w:val="003861E1"/>
    <w:rsid w:val="003861EC"/>
    <w:rsid w:val="003862AB"/>
    <w:rsid w:val="003862C3"/>
    <w:rsid w:val="00386360"/>
    <w:rsid w:val="003864B4"/>
    <w:rsid w:val="00386630"/>
    <w:rsid w:val="0038676B"/>
    <w:rsid w:val="00386887"/>
    <w:rsid w:val="00386A20"/>
    <w:rsid w:val="00386BB3"/>
    <w:rsid w:val="00386DA2"/>
    <w:rsid w:val="00386F2B"/>
    <w:rsid w:val="00387071"/>
    <w:rsid w:val="00387191"/>
    <w:rsid w:val="00387632"/>
    <w:rsid w:val="00387801"/>
    <w:rsid w:val="00387962"/>
    <w:rsid w:val="00387CFF"/>
    <w:rsid w:val="0039097D"/>
    <w:rsid w:val="00390D08"/>
    <w:rsid w:val="00391A21"/>
    <w:rsid w:val="00391CA7"/>
    <w:rsid w:val="00391D93"/>
    <w:rsid w:val="0039227A"/>
    <w:rsid w:val="00392473"/>
    <w:rsid w:val="003926F3"/>
    <w:rsid w:val="00392860"/>
    <w:rsid w:val="00392CB2"/>
    <w:rsid w:val="00392F0D"/>
    <w:rsid w:val="003930BA"/>
    <w:rsid w:val="00393199"/>
    <w:rsid w:val="003932D8"/>
    <w:rsid w:val="003933F2"/>
    <w:rsid w:val="003933FF"/>
    <w:rsid w:val="00393404"/>
    <w:rsid w:val="0039340F"/>
    <w:rsid w:val="003936BA"/>
    <w:rsid w:val="003936EA"/>
    <w:rsid w:val="00393823"/>
    <w:rsid w:val="003939E2"/>
    <w:rsid w:val="00393A20"/>
    <w:rsid w:val="00393B4F"/>
    <w:rsid w:val="00393C46"/>
    <w:rsid w:val="0039426F"/>
    <w:rsid w:val="00394597"/>
    <w:rsid w:val="003946AB"/>
    <w:rsid w:val="00394C3D"/>
    <w:rsid w:val="00394D21"/>
    <w:rsid w:val="00394E7E"/>
    <w:rsid w:val="0039502F"/>
    <w:rsid w:val="0039506E"/>
    <w:rsid w:val="00395110"/>
    <w:rsid w:val="003955CD"/>
    <w:rsid w:val="003956FC"/>
    <w:rsid w:val="00395A20"/>
    <w:rsid w:val="00395A4B"/>
    <w:rsid w:val="00395A85"/>
    <w:rsid w:val="00395DBD"/>
    <w:rsid w:val="00395E86"/>
    <w:rsid w:val="003960F2"/>
    <w:rsid w:val="0039612F"/>
    <w:rsid w:val="00396323"/>
    <w:rsid w:val="003964B0"/>
    <w:rsid w:val="00396591"/>
    <w:rsid w:val="00396946"/>
    <w:rsid w:val="0039696C"/>
    <w:rsid w:val="00396A79"/>
    <w:rsid w:val="00396B11"/>
    <w:rsid w:val="00396CCC"/>
    <w:rsid w:val="00397031"/>
    <w:rsid w:val="003971A8"/>
    <w:rsid w:val="0039732E"/>
    <w:rsid w:val="00397379"/>
    <w:rsid w:val="00397415"/>
    <w:rsid w:val="003974D9"/>
    <w:rsid w:val="00397646"/>
    <w:rsid w:val="0039779A"/>
    <w:rsid w:val="00397D3C"/>
    <w:rsid w:val="00397F51"/>
    <w:rsid w:val="003A01A0"/>
    <w:rsid w:val="003A02CF"/>
    <w:rsid w:val="003A07BD"/>
    <w:rsid w:val="003A092E"/>
    <w:rsid w:val="003A0C07"/>
    <w:rsid w:val="003A112D"/>
    <w:rsid w:val="003A114F"/>
    <w:rsid w:val="003A117B"/>
    <w:rsid w:val="003A1632"/>
    <w:rsid w:val="003A1644"/>
    <w:rsid w:val="003A1776"/>
    <w:rsid w:val="003A1820"/>
    <w:rsid w:val="003A1C90"/>
    <w:rsid w:val="003A204E"/>
    <w:rsid w:val="003A21A0"/>
    <w:rsid w:val="003A21A1"/>
    <w:rsid w:val="003A2452"/>
    <w:rsid w:val="003A2612"/>
    <w:rsid w:val="003A2AE6"/>
    <w:rsid w:val="003A2C3A"/>
    <w:rsid w:val="003A2D2F"/>
    <w:rsid w:val="003A2F94"/>
    <w:rsid w:val="003A2FB0"/>
    <w:rsid w:val="003A2FBB"/>
    <w:rsid w:val="003A3002"/>
    <w:rsid w:val="003A306D"/>
    <w:rsid w:val="003A3074"/>
    <w:rsid w:val="003A335B"/>
    <w:rsid w:val="003A34A5"/>
    <w:rsid w:val="003A3791"/>
    <w:rsid w:val="003A3BE0"/>
    <w:rsid w:val="003A3C56"/>
    <w:rsid w:val="003A3D25"/>
    <w:rsid w:val="003A3F9D"/>
    <w:rsid w:val="003A424E"/>
    <w:rsid w:val="003A42C7"/>
    <w:rsid w:val="003A4392"/>
    <w:rsid w:val="003A4770"/>
    <w:rsid w:val="003A49E0"/>
    <w:rsid w:val="003A4BE4"/>
    <w:rsid w:val="003A4EBB"/>
    <w:rsid w:val="003A4F46"/>
    <w:rsid w:val="003A5367"/>
    <w:rsid w:val="003A54E7"/>
    <w:rsid w:val="003A5561"/>
    <w:rsid w:val="003A5B85"/>
    <w:rsid w:val="003A5C7D"/>
    <w:rsid w:val="003A5CE9"/>
    <w:rsid w:val="003A5D03"/>
    <w:rsid w:val="003A5DB7"/>
    <w:rsid w:val="003A5F60"/>
    <w:rsid w:val="003A6451"/>
    <w:rsid w:val="003A657C"/>
    <w:rsid w:val="003A6727"/>
    <w:rsid w:val="003A6A00"/>
    <w:rsid w:val="003A6AC8"/>
    <w:rsid w:val="003A6AD3"/>
    <w:rsid w:val="003A6B70"/>
    <w:rsid w:val="003A757D"/>
    <w:rsid w:val="003A7842"/>
    <w:rsid w:val="003A7910"/>
    <w:rsid w:val="003A7C62"/>
    <w:rsid w:val="003A7D8D"/>
    <w:rsid w:val="003A7F01"/>
    <w:rsid w:val="003B001E"/>
    <w:rsid w:val="003B0125"/>
    <w:rsid w:val="003B0160"/>
    <w:rsid w:val="003B0308"/>
    <w:rsid w:val="003B037A"/>
    <w:rsid w:val="003B03A1"/>
    <w:rsid w:val="003B07FB"/>
    <w:rsid w:val="003B0B33"/>
    <w:rsid w:val="003B0BD3"/>
    <w:rsid w:val="003B0C48"/>
    <w:rsid w:val="003B0CEB"/>
    <w:rsid w:val="003B1073"/>
    <w:rsid w:val="003B1096"/>
    <w:rsid w:val="003B1229"/>
    <w:rsid w:val="003B12EC"/>
    <w:rsid w:val="003B15A7"/>
    <w:rsid w:val="003B1642"/>
    <w:rsid w:val="003B16AC"/>
    <w:rsid w:val="003B1815"/>
    <w:rsid w:val="003B1BE7"/>
    <w:rsid w:val="003B1DC2"/>
    <w:rsid w:val="003B1E53"/>
    <w:rsid w:val="003B218A"/>
    <w:rsid w:val="003B22F2"/>
    <w:rsid w:val="003B2418"/>
    <w:rsid w:val="003B259A"/>
    <w:rsid w:val="003B29A6"/>
    <w:rsid w:val="003B2B6F"/>
    <w:rsid w:val="003B2C1B"/>
    <w:rsid w:val="003B2F85"/>
    <w:rsid w:val="003B306F"/>
    <w:rsid w:val="003B3199"/>
    <w:rsid w:val="003B34E5"/>
    <w:rsid w:val="003B35E3"/>
    <w:rsid w:val="003B3A41"/>
    <w:rsid w:val="003B3BA4"/>
    <w:rsid w:val="003B3C9B"/>
    <w:rsid w:val="003B3DAB"/>
    <w:rsid w:val="003B3E99"/>
    <w:rsid w:val="003B426F"/>
    <w:rsid w:val="003B4419"/>
    <w:rsid w:val="003B452F"/>
    <w:rsid w:val="003B4598"/>
    <w:rsid w:val="003B45EA"/>
    <w:rsid w:val="003B4720"/>
    <w:rsid w:val="003B48FB"/>
    <w:rsid w:val="003B4933"/>
    <w:rsid w:val="003B499E"/>
    <w:rsid w:val="003B4A07"/>
    <w:rsid w:val="003B4B3D"/>
    <w:rsid w:val="003B4DE8"/>
    <w:rsid w:val="003B4EFA"/>
    <w:rsid w:val="003B506A"/>
    <w:rsid w:val="003B5200"/>
    <w:rsid w:val="003B53A0"/>
    <w:rsid w:val="003B54A6"/>
    <w:rsid w:val="003B5867"/>
    <w:rsid w:val="003B6475"/>
    <w:rsid w:val="003B653A"/>
    <w:rsid w:val="003B661C"/>
    <w:rsid w:val="003B7277"/>
    <w:rsid w:val="003B7489"/>
    <w:rsid w:val="003B752D"/>
    <w:rsid w:val="003B7677"/>
    <w:rsid w:val="003B7806"/>
    <w:rsid w:val="003B782D"/>
    <w:rsid w:val="003B792C"/>
    <w:rsid w:val="003B7A20"/>
    <w:rsid w:val="003B7BD0"/>
    <w:rsid w:val="003B7BD6"/>
    <w:rsid w:val="003B7D96"/>
    <w:rsid w:val="003B7FE0"/>
    <w:rsid w:val="003C0483"/>
    <w:rsid w:val="003C052B"/>
    <w:rsid w:val="003C0582"/>
    <w:rsid w:val="003C087B"/>
    <w:rsid w:val="003C08C5"/>
    <w:rsid w:val="003C0AED"/>
    <w:rsid w:val="003C0C05"/>
    <w:rsid w:val="003C0F09"/>
    <w:rsid w:val="003C1134"/>
    <w:rsid w:val="003C1188"/>
    <w:rsid w:val="003C1531"/>
    <w:rsid w:val="003C1686"/>
    <w:rsid w:val="003C1707"/>
    <w:rsid w:val="003C182C"/>
    <w:rsid w:val="003C195A"/>
    <w:rsid w:val="003C1FE4"/>
    <w:rsid w:val="003C20F9"/>
    <w:rsid w:val="003C2202"/>
    <w:rsid w:val="003C237F"/>
    <w:rsid w:val="003C279D"/>
    <w:rsid w:val="003C27CD"/>
    <w:rsid w:val="003C2828"/>
    <w:rsid w:val="003C28BA"/>
    <w:rsid w:val="003C28F1"/>
    <w:rsid w:val="003C2B60"/>
    <w:rsid w:val="003C2D57"/>
    <w:rsid w:val="003C2E42"/>
    <w:rsid w:val="003C2E64"/>
    <w:rsid w:val="003C2F3B"/>
    <w:rsid w:val="003C36EF"/>
    <w:rsid w:val="003C375B"/>
    <w:rsid w:val="003C378C"/>
    <w:rsid w:val="003C3A92"/>
    <w:rsid w:val="003C3C34"/>
    <w:rsid w:val="003C3CEE"/>
    <w:rsid w:val="003C3D93"/>
    <w:rsid w:val="003C3E73"/>
    <w:rsid w:val="003C3EB4"/>
    <w:rsid w:val="003C3EE0"/>
    <w:rsid w:val="003C3F05"/>
    <w:rsid w:val="003C3F2D"/>
    <w:rsid w:val="003C4154"/>
    <w:rsid w:val="003C421B"/>
    <w:rsid w:val="003C421C"/>
    <w:rsid w:val="003C4476"/>
    <w:rsid w:val="003C4549"/>
    <w:rsid w:val="003C4871"/>
    <w:rsid w:val="003C49A4"/>
    <w:rsid w:val="003C4A13"/>
    <w:rsid w:val="003C4A33"/>
    <w:rsid w:val="003C4BC7"/>
    <w:rsid w:val="003C4CE2"/>
    <w:rsid w:val="003C4E2B"/>
    <w:rsid w:val="003C4FFF"/>
    <w:rsid w:val="003C500E"/>
    <w:rsid w:val="003C54FB"/>
    <w:rsid w:val="003C5598"/>
    <w:rsid w:val="003C56FB"/>
    <w:rsid w:val="003C5ADE"/>
    <w:rsid w:val="003C5DCD"/>
    <w:rsid w:val="003C5EA5"/>
    <w:rsid w:val="003C5EAD"/>
    <w:rsid w:val="003C5EF2"/>
    <w:rsid w:val="003C5F0E"/>
    <w:rsid w:val="003C61F1"/>
    <w:rsid w:val="003C638D"/>
    <w:rsid w:val="003C69A7"/>
    <w:rsid w:val="003C69F3"/>
    <w:rsid w:val="003C6A58"/>
    <w:rsid w:val="003C6D1F"/>
    <w:rsid w:val="003C6EFD"/>
    <w:rsid w:val="003C7143"/>
    <w:rsid w:val="003C726E"/>
    <w:rsid w:val="003C74A3"/>
    <w:rsid w:val="003C7630"/>
    <w:rsid w:val="003C7BEA"/>
    <w:rsid w:val="003C7DEB"/>
    <w:rsid w:val="003C7DF4"/>
    <w:rsid w:val="003C7EE7"/>
    <w:rsid w:val="003D01C7"/>
    <w:rsid w:val="003D0305"/>
    <w:rsid w:val="003D068A"/>
    <w:rsid w:val="003D0871"/>
    <w:rsid w:val="003D08AE"/>
    <w:rsid w:val="003D0B2A"/>
    <w:rsid w:val="003D0B55"/>
    <w:rsid w:val="003D11F3"/>
    <w:rsid w:val="003D1809"/>
    <w:rsid w:val="003D181B"/>
    <w:rsid w:val="003D1843"/>
    <w:rsid w:val="003D19FA"/>
    <w:rsid w:val="003D1D01"/>
    <w:rsid w:val="003D1EC8"/>
    <w:rsid w:val="003D224B"/>
    <w:rsid w:val="003D2434"/>
    <w:rsid w:val="003D254B"/>
    <w:rsid w:val="003D26F3"/>
    <w:rsid w:val="003D2794"/>
    <w:rsid w:val="003D27A7"/>
    <w:rsid w:val="003D2939"/>
    <w:rsid w:val="003D29A0"/>
    <w:rsid w:val="003D2B29"/>
    <w:rsid w:val="003D2F84"/>
    <w:rsid w:val="003D3004"/>
    <w:rsid w:val="003D3085"/>
    <w:rsid w:val="003D30C8"/>
    <w:rsid w:val="003D336D"/>
    <w:rsid w:val="003D33F6"/>
    <w:rsid w:val="003D346C"/>
    <w:rsid w:val="003D37E2"/>
    <w:rsid w:val="003D3899"/>
    <w:rsid w:val="003D38BA"/>
    <w:rsid w:val="003D3AC3"/>
    <w:rsid w:val="003D3D16"/>
    <w:rsid w:val="003D40BE"/>
    <w:rsid w:val="003D415B"/>
    <w:rsid w:val="003D4416"/>
    <w:rsid w:val="003D447C"/>
    <w:rsid w:val="003D472B"/>
    <w:rsid w:val="003D4931"/>
    <w:rsid w:val="003D4D92"/>
    <w:rsid w:val="003D4EA9"/>
    <w:rsid w:val="003D5019"/>
    <w:rsid w:val="003D509E"/>
    <w:rsid w:val="003D52C6"/>
    <w:rsid w:val="003D53D2"/>
    <w:rsid w:val="003D56C8"/>
    <w:rsid w:val="003D56D1"/>
    <w:rsid w:val="003D5887"/>
    <w:rsid w:val="003D591D"/>
    <w:rsid w:val="003D5DA8"/>
    <w:rsid w:val="003D5FF1"/>
    <w:rsid w:val="003D6101"/>
    <w:rsid w:val="003D62B3"/>
    <w:rsid w:val="003D6483"/>
    <w:rsid w:val="003D66EC"/>
    <w:rsid w:val="003D6894"/>
    <w:rsid w:val="003D69BA"/>
    <w:rsid w:val="003D6F81"/>
    <w:rsid w:val="003D70A8"/>
    <w:rsid w:val="003D75DB"/>
    <w:rsid w:val="003D75F5"/>
    <w:rsid w:val="003D77B1"/>
    <w:rsid w:val="003D7834"/>
    <w:rsid w:val="003D7BF9"/>
    <w:rsid w:val="003E01F3"/>
    <w:rsid w:val="003E03E5"/>
    <w:rsid w:val="003E0922"/>
    <w:rsid w:val="003E0F6F"/>
    <w:rsid w:val="003E105B"/>
    <w:rsid w:val="003E105F"/>
    <w:rsid w:val="003E1074"/>
    <w:rsid w:val="003E1098"/>
    <w:rsid w:val="003E139C"/>
    <w:rsid w:val="003E13B9"/>
    <w:rsid w:val="003E1490"/>
    <w:rsid w:val="003E1556"/>
    <w:rsid w:val="003E1A75"/>
    <w:rsid w:val="003E1B76"/>
    <w:rsid w:val="003E1D16"/>
    <w:rsid w:val="003E1E03"/>
    <w:rsid w:val="003E245C"/>
    <w:rsid w:val="003E292F"/>
    <w:rsid w:val="003E2944"/>
    <w:rsid w:val="003E2947"/>
    <w:rsid w:val="003E2AA2"/>
    <w:rsid w:val="003E2BA4"/>
    <w:rsid w:val="003E2E11"/>
    <w:rsid w:val="003E2F4A"/>
    <w:rsid w:val="003E3027"/>
    <w:rsid w:val="003E3032"/>
    <w:rsid w:val="003E30D4"/>
    <w:rsid w:val="003E31DF"/>
    <w:rsid w:val="003E3205"/>
    <w:rsid w:val="003E3339"/>
    <w:rsid w:val="003E338E"/>
    <w:rsid w:val="003E34B0"/>
    <w:rsid w:val="003E35BC"/>
    <w:rsid w:val="003E382C"/>
    <w:rsid w:val="003E3C16"/>
    <w:rsid w:val="003E3C3E"/>
    <w:rsid w:val="003E3E3B"/>
    <w:rsid w:val="003E3F04"/>
    <w:rsid w:val="003E400A"/>
    <w:rsid w:val="003E41E3"/>
    <w:rsid w:val="003E4234"/>
    <w:rsid w:val="003E4694"/>
    <w:rsid w:val="003E4961"/>
    <w:rsid w:val="003E4A49"/>
    <w:rsid w:val="003E4DB9"/>
    <w:rsid w:val="003E5152"/>
    <w:rsid w:val="003E51F4"/>
    <w:rsid w:val="003E524B"/>
    <w:rsid w:val="003E5926"/>
    <w:rsid w:val="003E5A28"/>
    <w:rsid w:val="003E5B2C"/>
    <w:rsid w:val="003E5CAD"/>
    <w:rsid w:val="003E5FAE"/>
    <w:rsid w:val="003E62DA"/>
    <w:rsid w:val="003E6335"/>
    <w:rsid w:val="003E65B5"/>
    <w:rsid w:val="003E6923"/>
    <w:rsid w:val="003E6C86"/>
    <w:rsid w:val="003E6DE1"/>
    <w:rsid w:val="003E6E27"/>
    <w:rsid w:val="003E715D"/>
    <w:rsid w:val="003E7162"/>
    <w:rsid w:val="003E71B9"/>
    <w:rsid w:val="003E7275"/>
    <w:rsid w:val="003E72E2"/>
    <w:rsid w:val="003E7CA6"/>
    <w:rsid w:val="003E7D44"/>
    <w:rsid w:val="003E7D85"/>
    <w:rsid w:val="003E7D94"/>
    <w:rsid w:val="003E7E9F"/>
    <w:rsid w:val="003F0246"/>
    <w:rsid w:val="003F037F"/>
    <w:rsid w:val="003F03D2"/>
    <w:rsid w:val="003F077D"/>
    <w:rsid w:val="003F08C6"/>
    <w:rsid w:val="003F091A"/>
    <w:rsid w:val="003F09BA"/>
    <w:rsid w:val="003F0E3A"/>
    <w:rsid w:val="003F10EF"/>
    <w:rsid w:val="003F125E"/>
    <w:rsid w:val="003F12B4"/>
    <w:rsid w:val="003F12CA"/>
    <w:rsid w:val="003F12DE"/>
    <w:rsid w:val="003F162B"/>
    <w:rsid w:val="003F167F"/>
    <w:rsid w:val="003F1738"/>
    <w:rsid w:val="003F185D"/>
    <w:rsid w:val="003F1871"/>
    <w:rsid w:val="003F1964"/>
    <w:rsid w:val="003F1A60"/>
    <w:rsid w:val="003F1C4C"/>
    <w:rsid w:val="003F1E5B"/>
    <w:rsid w:val="003F1ECF"/>
    <w:rsid w:val="003F1FF1"/>
    <w:rsid w:val="003F271E"/>
    <w:rsid w:val="003F2FDD"/>
    <w:rsid w:val="003F3520"/>
    <w:rsid w:val="003F38B8"/>
    <w:rsid w:val="003F3BE9"/>
    <w:rsid w:val="003F3D17"/>
    <w:rsid w:val="003F3DD9"/>
    <w:rsid w:val="003F4012"/>
    <w:rsid w:val="003F405E"/>
    <w:rsid w:val="003F40CA"/>
    <w:rsid w:val="003F413B"/>
    <w:rsid w:val="003F417E"/>
    <w:rsid w:val="003F484A"/>
    <w:rsid w:val="003F4AD5"/>
    <w:rsid w:val="003F4B6F"/>
    <w:rsid w:val="003F4DC3"/>
    <w:rsid w:val="003F5279"/>
    <w:rsid w:val="003F575F"/>
    <w:rsid w:val="003F5895"/>
    <w:rsid w:val="003F5936"/>
    <w:rsid w:val="003F5C60"/>
    <w:rsid w:val="003F61E7"/>
    <w:rsid w:val="003F61FE"/>
    <w:rsid w:val="003F630B"/>
    <w:rsid w:val="003F646F"/>
    <w:rsid w:val="003F64F7"/>
    <w:rsid w:val="003F6549"/>
    <w:rsid w:val="003F68EC"/>
    <w:rsid w:val="003F6AAF"/>
    <w:rsid w:val="003F7050"/>
    <w:rsid w:val="003F7223"/>
    <w:rsid w:val="003F7278"/>
    <w:rsid w:val="003F76E9"/>
    <w:rsid w:val="003F7800"/>
    <w:rsid w:val="003F7CE5"/>
    <w:rsid w:val="003F7EA8"/>
    <w:rsid w:val="003F7F04"/>
    <w:rsid w:val="004001B9"/>
    <w:rsid w:val="0040022F"/>
    <w:rsid w:val="00400282"/>
    <w:rsid w:val="004005E9"/>
    <w:rsid w:val="004006C6"/>
    <w:rsid w:val="0040083B"/>
    <w:rsid w:val="00400FD3"/>
    <w:rsid w:val="0040125C"/>
    <w:rsid w:val="00401701"/>
    <w:rsid w:val="0040170C"/>
    <w:rsid w:val="00401805"/>
    <w:rsid w:val="00401B18"/>
    <w:rsid w:val="00401E0D"/>
    <w:rsid w:val="00401FE6"/>
    <w:rsid w:val="00402167"/>
    <w:rsid w:val="004021A7"/>
    <w:rsid w:val="0040221B"/>
    <w:rsid w:val="00402277"/>
    <w:rsid w:val="00402306"/>
    <w:rsid w:val="00402822"/>
    <w:rsid w:val="00402A5C"/>
    <w:rsid w:val="00402D0D"/>
    <w:rsid w:val="00402D55"/>
    <w:rsid w:val="00402E68"/>
    <w:rsid w:val="00402EDD"/>
    <w:rsid w:val="00402FA8"/>
    <w:rsid w:val="00402FAA"/>
    <w:rsid w:val="00403014"/>
    <w:rsid w:val="004030C8"/>
    <w:rsid w:val="00403116"/>
    <w:rsid w:val="004034C3"/>
    <w:rsid w:val="00403520"/>
    <w:rsid w:val="0040355B"/>
    <w:rsid w:val="004035D9"/>
    <w:rsid w:val="00403AB5"/>
    <w:rsid w:val="00403CCE"/>
    <w:rsid w:val="00403D87"/>
    <w:rsid w:val="00403ED5"/>
    <w:rsid w:val="00403F32"/>
    <w:rsid w:val="004041C1"/>
    <w:rsid w:val="00404443"/>
    <w:rsid w:val="004045C1"/>
    <w:rsid w:val="00404876"/>
    <w:rsid w:val="004049B7"/>
    <w:rsid w:val="004049C1"/>
    <w:rsid w:val="004049F6"/>
    <w:rsid w:val="00404A33"/>
    <w:rsid w:val="004053E8"/>
    <w:rsid w:val="0040541D"/>
    <w:rsid w:val="004054E0"/>
    <w:rsid w:val="00405608"/>
    <w:rsid w:val="00405744"/>
    <w:rsid w:val="0040595B"/>
    <w:rsid w:val="00405A1A"/>
    <w:rsid w:val="00405C8A"/>
    <w:rsid w:val="00405D47"/>
    <w:rsid w:val="00405DB8"/>
    <w:rsid w:val="00405EAB"/>
    <w:rsid w:val="00405F26"/>
    <w:rsid w:val="004060FC"/>
    <w:rsid w:val="00406189"/>
    <w:rsid w:val="0040652C"/>
    <w:rsid w:val="004066B5"/>
    <w:rsid w:val="00406907"/>
    <w:rsid w:val="004069B3"/>
    <w:rsid w:val="00406AEC"/>
    <w:rsid w:val="00406CC7"/>
    <w:rsid w:val="00406E33"/>
    <w:rsid w:val="00406E85"/>
    <w:rsid w:val="00406F2D"/>
    <w:rsid w:val="0040701D"/>
    <w:rsid w:val="00407030"/>
    <w:rsid w:val="00407370"/>
    <w:rsid w:val="00407436"/>
    <w:rsid w:val="0040777B"/>
    <w:rsid w:val="0040778D"/>
    <w:rsid w:val="00407863"/>
    <w:rsid w:val="00407953"/>
    <w:rsid w:val="00407B4F"/>
    <w:rsid w:val="00407D97"/>
    <w:rsid w:val="00407E2B"/>
    <w:rsid w:val="00407F90"/>
    <w:rsid w:val="00407FD1"/>
    <w:rsid w:val="004100B0"/>
    <w:rsid w:val="00410169"/>
    <w:rsid w:val="00410653"/>
    <w:rsid w:val="00410888"/>
    <w:rsid w:val="004109CA"/>
    <w:rsid w:val="00410A32"/>
    <w:rsid w:val="00410B26"/>
    <w:rsid w:val="00410B99"/>
    <w:rsid w:val="00410C2A"/>
    <w:rsid w:val="00410D7F"/>
    <w:rsid w:val="00410E15"/>
    <w:rsid w:val="00411061"/>
    <w:rsid w:val="00411C87"/>
    <w:rsid w:val="00411C9A"/>
    <w:rsid w:val="00411EC2"/>
    <w:rsid w:val="00411ECF"/>
    <w:rsid w:val="00411F1D"/>
    <w:rsid w:val="0041210F"/>
    <w:rsid w:val="00412248"/>
    <w:rsid w:val="0041242F"/>
    <w:rsid w:val="0041266A"/>
    <w:rsid w:val="004127EE"/>
    <w:rsid w:val="0041296E"/>
    <w:rsid w:val="004129D4"/>
    <w:rsid w:val="00412C5A"/>
    <w:rsid w:val="00412C61"/>
    <w:rsid w:val="00412D01"/>
    <w:rsid w:val="00412EBC"/>
    <w:rsid w:val="00412F5C"/>
    <w:rsid w:val="00413129"/>
    <w:rsid w:val="0041348A"/>
    <w:rsid w:val="0041352F"/>
    <w:rsid w:val="004135B0"/>
    <w:rsid w:val="00413770"/>
    <w:rsid w:val="00413B31"/>
    <w:rsid w:val="00413B38"/>
    <w:rsid w:val="00413C8A"/>
    <w:rsid w:val="00413FA6"/>
    <w:rsid w:val="00414090"/>
    <w:rsid w:val="00414189"/>
    <w:rsid w:val="0041448B"/>
    <w:rsid w:val="00414546"/>
    <w:rsid w:val="00414747"/>
    <w:rsid w:val="00414919"/>
    <w:rsid w:val="004149FD"/>
    <w:rsid w:val="00414A8E"/>
    <w:rsid w:val="00414B2E"/>
    <w:rsid w:val="00414E80"/>
    <w:rsid w:val="00414F35"/>
    <w:rsid w:val="00415174"/>
    <w:rsid w:val="004152D1"/>
    <w:rsid w:val="0041567A"/>
    <w:rsid w:val="00415A4A"/>
    <w:rsid w:val="00415DB4"/>
    <w:rsid w:val="00415DE8"/>
    <w:rsid w:val="00416342"/>
    <w:rsid w:val="0041646F"/>
    <w:rsid w:val="00416561"/>
    <w:rsid w:val="00416577"/>
    <w:rsid w:val="004165A7"/>
    <w:rsid w:val="004165FF"/>
    <w:rsid w:val="004168EA"/>
    <w:rsid w:val="00416941"/>
    <w:rsid w:val="00416978"/>
    <w:rsid w:val="00416A5A"/>
    <w:rsid w:val="00416AF8"/>
    <w:rsid w:val="00416BAC"/>
    <w:rsid w:val="00416BB9"/>
    <w:rsid w:val="00416DFF"/>
    <w:rsid w:val="00417184"/>
    <w:rsid w:val="00417402"/>
    <w:rsid w:val="00417430"/>
    <w:rsid w:val="00417449"/>
    <w:rsid w:val="004178E2"/>
    <w:rsid w:val="004179CB"/>
    <w:rsid w:val="00417B7C"/>
    <w:rsid w:val="00417C87"/>
    <w:rsid w:val="004201B0"/>
    <w:rsid w:val="0042031C"/>
    <w:rsid w:val="0042037E"/>
    <w:rsid w:val="004203B8"/>
    <w:rsid w:val="00420797"/>
    <w:rsid w:val="004207EB"/>
    <w:rsid w:val="004208E8"/>
    <w:rsid w:val="0042092D"/>
    <w:rsid w:val="00420990"/>
    <w:rsid w:val="00420D54"/>
    <w:rsid w:val="00420DBF"/>
    <w:rsid w:val="00420F53"/>
    <w:rsid w:val="00421833"/>
    <w:rsid w:val="00421DB7"/>
    <w:rsid w:val="00421E12"/>
    <w:rsid w:val="00421E30"/>
    <w:rsid w:val="0042216E"/>
    <w:rsid w:val="0042243E"/>
    <w:rsid w:val="00422534"/>
    <w:rsid w:val="004225BA"/>
    <w:rsid w:val="004226CF"/>
    <w:rsid w:val="00422DA7"/>
    <w:rsid w:val="00422ED5"/>
    <w:rsid w:val="00422F6D"/>
    <w:rsid w:val="00423073"/>
    <w:rsid w:val="004231EF"/>
    <w:rsid w:val="00423283"/>
    <w:rsid w:val="00423566"/>
    <w:rsid w:val="00423645"/>
    <w:rsid w:val="00423AC6"/>
    <w:rsid w:val="00423FDF"/>
    <w:rsid w:val="004240C7"/>
    <w:rsid w:val="004243E3"/>
    <w:rsid w:val="0042470D"/>
    <w:rsid w:val="00424819"/>
    <w:rsid w:val="0042499D"/>
    <w:rsid w:val="004249A0"/>
    <w:rsid w:val="00424B6E"/>
    <w:rsid w:val="00424BF0"/>
    <w:rsid w:val="00424D40"/>
    <w:rsid w:val="00424DF0"/>
    <w:rsid w:val="0042516D"/>
    <w:rsid w:val="00425A81"/>
    <w:rsid w:val="00425ABE"/>
    <w:rsid w:val="00425AE9"/>
    <w:rsid w:val="00425B2B"/>
    <w:rsid w:val="00425E0B"/>
    <w:rsid w:val="00425F38"/>
    <w:rsid w:val="00425FF9"/>
    <w:rsid w:val="0042657A"/>
    <w:rsid w:val="00426930"/>
    <w:rsid w:val="00426AEC"/>
    <w:rsid w:val="00426DF5"/>
    <w:rsid w:val="00426E70"/>
    <w:rsid w:val="00426EA2"/>
    <w:rsid w:val="00426F83"/>
    <w:rsid w:val="004270D0"/>
    <w:rsid w:val="004271E7"/>
    <w:rsid w:val="00427201"/>
    <w:rsid w:val="00427326"/>
    <w:rsid w:val="00427457"/>
    <w:rsid w:val="004274D8"/>
    <w:rsid w:val="00427715"/>
    <w:rsid w:val="0042776D"/>
    <w:rsid w:val="00427B43"/>
    <w:rsid w:val="00427CB7"/>
    <w:rsid w:val="00427E91"/>
    <w:rsid w:val="0042DB1E"/>
    <w:rsid w:val="00430031"/>
    <w:rsid w:val="004302CE"/>
    <w:rsid w:val="004303B0"/>
    <w:rsid w:val="004305D0"/>
    <w:rsid w:val="0043069E"/>
    <w:rsid w:val="004307F1"/>
    <w:rsid w:val="00430845"/>
    <w:rsid w:val="00430A8D"/>
    <w:rsid w:val="00430ECC"/>
    <w:rsid w:val="00430EE0"/>
    <w:rsid w:val="00430F97"/>
    <w:rsid w:val="00430FC5"/>
    <w:rsid w:val="004312AE"/>
    <w:rsid w:val="00431323"/>
    <w:rsid w:val="004318AB"/>
    <w:rsid w:val="004318FA"/>
    <w:rsid w:val="00431A49"/>
    <w:rsid w:val="00431D88"/>
    <w:rsid w:val="00431EF4"/>
    <w:rsid w:val="00431F31"/>
    <w:rsid w:val="00432067"/>
    <w:rsid w:val="004320B4"/>
    <w:rsid w:val="0043219C"/>
    <w:rsid w:val="004321E3"/>
    <w:rsid w:val="00432267"/>
    <w:rsid w:val="00432536"/>
    <w:rsid w:val="00432590"/>
    <w:rsid w:val="004326B3"/>
    <w:rsid w:val="00432749"/>
    <w:rsid w:val="00432B40"/>
    <w:rsid w:val="00432C0B"/>
    <w:rsid w:val="00432DCB"/>
    <w:rsid w:val="00432DF9"/>
    <w:rsid w:val="004332C8"/>
    <w:rsid w:val="0043344F"/>
    <w:rsid w:val="0043394C"/>
    <w:rsid w:val="004339F9"/>
    <w:rsid w:val="00433EF9"/>
    <w:rsid w:val="00433F18"/>
    <w:rsid w:val="00433FDC"/>
    <w:rsid w:val="00434237"/>
    <w:rsid w:val="004343B5"/>
    <w:rsid w:val="004347DC"/>
    <w:rsid w:val="00434B97"/>
    <w:rsid w:val="00434D52"/>
    <w:rsid w:val="00434FA2"/>
    <w:rsid w:val="004350F7"/>
    <w:rsid w:val="0043565F"/>
    <w:rsid w:val="00435999"/>
    <w:rsid w:val="00435A12"/>
    <w:rsid w:val="00435A81"/>
    <w:rsid w:val="00435D8C"/>
    <w:rsid w:val="00435E2B"/>
    <w:rsid w:val="00435E5D"/>
    <w:rsid w:val="004361D7"/>
    <w:rsid w:val="0043622B"/>
    <w:rsid w:val="004362C8"/>
    <w:rsid w:val="004364BD"/>
    <w:rsid w:val="004365FE"/>
    <w:rsid w:val="0043661A"/>
    <w:rsid w:val="00436779"/>
    <w:rsid w:val="004367EA"/>
    <w:rsid w:val="004369F3"/>
    <w:rsid w:val="00436A0B"/>
    <w:rsid w:val="00436A38"/>
    <w:rsid w:val="00436BAA"/>
    <w:rsid w:val="00436EB1"/>
    <w:rsid w:val="00436F88"/>
    <w:rsid w:val="0043731C"/>
    <w:rsid w:val="004373F5"/>
    <w:rsid w:val="004374C0"/>
    <w:rsid w:val="0043765F"/>
    <w:rsid w:val="004376AB"/>
    <w:rsid w:val="0043785A"/>
    <w:rsid w:val="00437888"/>
    <w:rsid w:val="00437BE9"/>
    <w:rsid w:val="00437C8D"/>
    <w:rsid w:val="00437D34"/>
    <w:rsid w:val="00437EF2"/>
    <w:rsid w:val="00437F21"/>
    <w:rsid w:val="00440373"/>
    <w:rsid w:val="00440445"/>
    <w:rsid w:val="0044051F"/>
    <w:rsid w:val="0044055D"/>
    <w:rsid w:val="00440E52"/>
    <w:rsid w:val="00440F61"/>
    <w:rsid w:val="00441085"/>
    <w:rsid w:val="00441180"/>
    <w:rsid w:val="0044120F"/>
    <w:rsid w:val="004412AA"/>
    <w:rsid w:val="004412DA"/>
    <w:rsid w:val="004413C2"/>
    <w:rsid w:val="00441638"/>
    <w:rsid w:val="004416FE"/>
    <w:rsid w:val="004417E7"/>
    <w:rsid w:val="004418BD"/>
    <w:rsid w:val="00441D8D"/>
    <w:rsid w:val="00441F4D"/>
    <w:rsid w:val="004420AF"/>
    <w:rsid w:val="0044212F"/>
    <w:rsid w:val="00442364"/>
    <w:rsid w:val="00442508"/>
    <w:rsid w:val="00442AA3"/>
    <w:rsid w:val="00442D78"/>
    <w:rsid w:val="00442E2E"/>
    <w:rsid w:val="00443084"/>
    <w:rsid w:val="00443133"/>
    <w:rsid w:val="00443162"/>
    <w:rsid w:val="00443254"/>
    <w:rsid w:val="00443256"/>
    <w:rsid w:val="0044326F"/>
    <w:rsid w:val="00443462"/>
    <w:rsid w:val="004436BB"/>
    <w:rsid w:val="00443929"/>
    <w:rsid w:val="00443D5F"/>
    <w:rsid w:val="00444174"/>
    <w:rsid w:val="00444199"/>
    <w:rsid w:val="00444250"/>
    <w:rsid w:val="00444758"/>
    <w:rsid w:val="004447D2"/>
    <w:rsid w:val="00444E51"/>
    <w:rsid w:val="00444F33"/>
    <w:rsid w:val="0044501D"/>
    <w:rsid w:val="0044504F"/>
    <w:rsid w:val="004450AD"/>
    <w:rsid w:val="004450C8"/>
    <w:rsid w:val="004450DE"/>
    <w:rsid w:val="0044532E"/>
    <w:rsid w:val="004453D1"/>
    <w:rsid w:val="00445537"/>
    <w:rsid w:val="0044554F"/>
    <w:rsid w:val="00445551"/>
    <w:rsid w:val="00445894"/>
    <w:rsid w:val="00445B60"/>
    <w:rsid w:val="00445BAD"/>
    <w:rsid w:val="00445E77"/>
    <w:rsid w:val="00446085"/>
    <w:rsid w:val="004464B2"/>
    <w:rsid w:val="00446697"/>
    <w:rsid w:val="004467E0"/>
    <w:rsid w:val="004469BB"/>
    <w:rsid w:val="00446CE4"/>
    <w:rsid w:val="00446FAC"/>
    <w:rsid w:val="00447363"/>
    <w:rsid w:val="004473E9"/>
    <w:rsid w:val="004475C6"/>
    <w:rsid w:val="00447793"/>
    <w:rsid w:val="004479BA"/>
    <w:rsid w:val="004479EE"/>
    <w:rsid w:val="00447CCA"/>
    <w:rsid w:val="00447D80"/>
    <w:rsid w:val="004500E4"/>
    <w:rsid w:val="00450256"/>
    <w:rsid w:val="00450358"/>
    <w:rsid w:val="00450867"/>
    <w:rsid w:val="00450975"/>
    <w:rsid w:val="00450C92"/>
    <w:rsid w:val="00451D81"/>
    <w:rsid w:val="004520F5"/>
    <w:rsid w:val="00452143"/>
    <w:rsid w:val="00452165"/>
    <w:rsid w:val="0045228F"/>
    <w:rsid w:val="004524A3"/>
    <w:rsid w:val="00452E52"/>
    <w:rsid w:val="00452E94"/>
    <w:rsid w:val="00452F12"/>
    <w:rsid w:val="00452FA5"/>
    <w:rsid w:val="00453073"/>
    <w:rsid w:val="00453440"/>
    <w:rsid w:val="00453683"/>
    <w:rsid w:val="004536A0"/>
    <w:rsid w:val="0045374F"/>
    <w:rsid w:val="00453BB5"/>
    <w:rsid w:val="00453F73"/>
    <w:rsid w:val="00453FBD"/>
    <w:rsid w:val="004541B1"/>
    <w:rsid w:val="00454238"/>
    <w:rsid w:val="00454561"/>
    <w:rsid w:val="004545EC"/>
    <w:rsid w:val="00454739"/>
    <w:rsid w:val="00454BD7"/>
    <w:rsid w:val="00454C8C"/>
    <w:rsid w:val="00454D12"/>
    <w:rsid w:val="00454E87"/>
    <w:rsid w:val="00454F9C"/>
    <w:rsid w:val="00454FCB"/>
    <w:rsid w:val="0045508C"/>
    <w:rsid w:val="004550DE"/>
    <w:rsid w:val="0045528D"/>
    <w:rsid w:val="00455325"/>
    <w:rsid w:val="0045540D"/>
    <w:rsid w:val="00455679"/>
    <w:rsid w:val="004557C8"/>
    <w:rsid w:val="004558B1"/>
    <w:rsid w:val="004558B3"/>
    <w:rsid w:val="00455A3B"/>
    <w:rsid w:val="00455B9F"/>
    <w:rsid w:val="00455C9A"/>
    <w:rsid w:val="00455E88"/>
    <w:rsid w:val="00455EA8"/>
    <w:rsid w:val="0045613A"/>
    <w:rsid w:val="00456237"/>
    <w:rsid w:val="004562B6"/>
    <w:rsid w:val="00456318"/>
    <w:rsid w:val="00456779"/>
    <w:rsid w:val="00456AA4"/>
    <w:rsid w:val="00456B3B"/>
    <w:rsid w:val="00456B6B"/>
    <w:rsid w:val="00456E99"/>
    <w:rsid w:val="00456EC9"/>
    <w:rsid w:val="00457210"/>
    <w:rsid w:val="00457329"/>
    <w:rsid w:val="004573C1"/>
    <w:rsid w:val="004573F4"/>
    <w:rsid w:val="004574A3"/>
    <w:rsid w:val="0045763F"/>
    <w:rsid w:val="0045774E"/>
    <w:rsid w:val="00457776"/>
    <w:rsid w:val="004577FB"/>
    <w:rsid w:val="00457B3C"/>
    <w:rsid w:val="00457C93"/>
    <w:rsid w:val="00457D49"/>
    <w:rsid w:val="00457FB4"/>
    <w:rsid w:val="0046047E"/>
    <w:rsid w:val="0046049B"/>
    <w:rsid w:val="00460748"/>
    <w:rsid w:val="00460A46"/>
    <w:rsid w:val="00460A58"/>
    <w:rsid w:val="00460CE7"/>
    <w:rsid w:val="00460D7E"/>
    <w:rsid w:val="00460D92"/>
    <w:rsid w:val="0046102B"/>
    <w:rsid w:val="00461068"/>
    <w:rsid w:val="004615C5"/>
    <w:rsid w:val="00461679"/>
    <w:rsid w:val="00461710"/>
    <w:rsid w:val="0046186F"/>
    <w:rsid w:val="004619E0"/>
    <w:rsid w:val="00461A06"/>
    <w:rsid w:val="00461AC5"/>
    <w:rsid w:val="00461B4F"/>
    <w:rsid w:val="004620FD"/>
    <w:rsid w:val="004623B9"/>
    <w:rsid w:val="0046258E"/>
    <w:rsid w:val="00462652"/>
    <w:rsid w:val="00462777"/>
    <w:rsid w:val="0046279E"/>
    <w:rsid w:val="004629BC"/>
    <w:rsid w:val="00462A34"/>
    <w:rsid w:val="00462CC9"/>
    <w:rsid w:val="00462DAB"/>
    <w:rsid w:val="00462F94"/>
    <w:rsid w:val="00463079"/>
    <w:rsid w:val="00463230"/>
    <w:rsid w:val="004634D5"/>
    <w:rsid w:val="00463554"/>
    <w:rsid w:val="0046365A"/>
    <w:rsid w:val="004636A7"/>
    <w:rsid w:val="004636E6"/>
    <w:rsid w:val="004639FC"/>
    <w:rsid w:val="00463AAF"/>
    <w:rsid w:val="00463B21"/>
    <w:rsid w:val="00463CD9"/>
    <w:rsid w:val="00464098"/>
    <w:rsid w:val="00464188"/>
    <w:rsid w:val="0046427E"/>
    <w:rsid w:val="004644F7"/>
    <w:rsid w:val="0046489A"/>
    <w:rsid w:val="00464A42"/>
    <w:rsid w:val="00464CCE"/>
    <w:rsid w:val="00464E6F"/>
    <w:rsid w:val="00464F73"/>
    <w:rsid w:val="00465071"/>
    <w:rsid w:val="004651C6"/>
    <w:rsid w:val="00465260"/>
    <w:rsid w:val="00465299"/>
    <w:rsid w:val="00465316"/>
    <w:rsid w:val="004655C0"/>
    <w:rsid w:val="004657AD"/>
    <w:rsid w:val="00465AD0"/>
    <w:rsid w:val="00465AD8"/>
    <w:rsid w:val="00465D02"/>
    <w:rsid w:val="00465D0B"/>
    <w:rsid w:val="00466C1D"/>
    <w:rsid w:val="00466C9E"/>
    <w:rsid w:val="00466F82"/>
    <w:rsid w:val="00466FA3"/>
    <w:rsid w:val="0046701C"/>
    <w:rsid w:val="00467163"/>
    <w:rsid w:val="004672D8"/>
    <w:rsid w:val="00467366"/>
    <w:rsid w:val="00467394"/>
    <w:rsid w:val="004673BC"/>
    <w:rsid w:val="00467612"/>
    <w:rsid w:val="00467729"/>
    <w:rsid w:val="0046791A"/>
    <w:rsid w:val="00467D59"/>
    <w:rsid w:val="00467E73"/>
    <w:rsid w:val="004704EC"/>
    <w:rsid w:val="0047061C"/>
    <w:rsid w:val="00470833"/>
    <w:rsid w:val="004709D7"/>
    <w:rsid w:val="00470CCF"/>
    <w:rsid w:val="00470F28"/>
    <w:rsid w:val="004711DD"/>
    <w:rsid w:val="0047141A"/>
    <w:rsid w:val="00471636"/>
    <w:rsid w:val="004716F0"/>
    <w:rsid w:val="00471793"/>
    <w:rsid w:val="00471A42"/>
    <w:rsid w:val="00471D66"/>
    <w:rsid w:val="00471E32"/>
    <w:rsid w:val="00471EF3"/>
    <w:rsid w:val="00471FAC"/>
    <w:rsid w:val="00472202"/>
    <w:rsid w:val="00472448"/>
    <w:rsid w:val="00472470"/>
    <w:rsid w:val="0047247E"/>
    <w:rsid w:val="00472576"/>
    <w:rsid w:val="00472806"/>
    <w:rsid w:val="00472867"/>
    <w:rsid w:val="004728D4"/>
    <w:rsid w:val="004729F0"/>
    <w:rsid w:val="00472EB2"/>
    <w:rsid w:val="00472FF9"/>
    <w:rsid w:val="004730F7"/>
    <w:rsid w:val="00473592"/>
    <w:rsid w:val="0047381D"/>
    <w:rsid w:val="004739A7"/>
    <w:rsid w:val="00473B1E"/>
    <w:rsid w:val="00473F84"/>
    <w:rsid w:val="004740E4"/>
    <w:rsid w:val="004742C5"/>
    <w:rsid w:val="004746EA"/>
    <w:rsid w:val="00474838"/>
    <w:rsid w:val="00474CCE"/>
    <w:rsid w:val="004750BC"/>
    <w:rsid w:val="004751E1"/>
    <w:rsid w:val="004752B7"/>
    <w:rsid w:val="00475C83"/>
    <w:rsid w:val="00475F2A"/>
    <w:rsid w:val="00475F96"/>
    <w:rsid w:val="00476095"/>
    <w:rsid w:val="00476283"/>
    <w:rsid w:val="0047632C"/>
    <w:rsid w:val="00476456"/>
    <w:rsid w:val="00476552"/>
    <w:rsid w:val="004767E5"/>
    <w:rsid w:val="00476860"/>
    <w:rsid w:val="00476946"/>
    <w:rsid w:val="00476C24"/>
    <w:rsid w:val="00476C56"/>
    <w:rsid w:val="00476EBA"/>
    <w:rsid w:val="00476EF6"/>
    <w:rsid w:val="00477074"/>
    <w:rsid w:val="00477179"/>
    <w:rsid w:val="004772EA"/>
    <w:rsid w:val="0047734D"/>
    <w:rsid w:val="00477363"/>
    <w:rsid w:val="0047749A"/>
    <w:rsid w:val="00477772"/>
    <w:rsid w:val="00477A79"/>
    <w:rsid w:val="00477B1C"/>
    <w:rsid w:val="00477B97"/>
    <w:rsid w:val="00477EBD"/>
    <w:rsid w:val="0048019D"/>
    <w:rsid w:val="0048089E"/>
    <w:rsid w:val="00480C52"/>
    <w:rsid w:val="00480D03"/>
    <w:rsid w:val="00480DAF"/>
    <w:rsid w:val="00480EDD"/>
    <w:rsid w:val="00481093"/>
    <w:rsid w:val="004811A2"/>
    <w:rsid w:val="004811D1"/>
    <w:rsid w:val="00481525"/>
    <w:rsid w:val="004817DD"/>
    <w:rsid w:val="004817FE"/>
    <w:rsid w:val="004818AB"/>
    <w:rsid w:val="004819CC"/>
    <w:rsid w:val="004819DF"/>
    <w:rsid w:val="004819F9"/>
    <w:rsid w:val="00481B0D"/>
    <w:rsid w:val="00481B4C"/>
    <w:rsid w:val="00481C84"/>
    <w:rsid w:val="00481D22"/>
    <w:rsid w:val="00481E75"/>
    <w:rsid w:val="004824FA"/>
    <w:rsid w:val="00482745"/>
    <w:rsid w:val="004827ED"/>
    <w:rsid w:val="00482A99"/>
    <w:rsid w:val="00482CED"/>
    <w:rsid w:val="00482D6D"/>
    <w:rsid w:val="00482E4D"/>
    <w:rsid w:val="004831A2"/>
    <w:rsid w:val="00483237"/>
    <w:rsid w:val="00483448"/>
    <w:rsid w:val="004834AE"/>
    <w:rsid w:val="00483525"/>
    <w:rsid w:val="004836AB"/>
    <w:rsid w:val="0048393A"/>
    <w:rsid w:val="00483A89"/>
    <w:rsid w:val="00483AEF"/>
    <w:rsid w:val="004844BB"/>
    <w:rsid w:val="004844E3"/>
    <w:rsid w:val="00484522"/>
    <w:rsid w:val="0048452F"/>
    <w:rsid w:val="004845B1"/>
    <w:rsid w:val="004845DB"/>
    <w:rsid w:val="0048463B"/>
    <w:rsid w:val="00484890"/>
    <w:rsid w:val="00484992"/>
    <w:rsid w:val="00484AC6"/>
    <w:rsid w:val="00484F4C"/>
    <w:rsid w:val="0048504D"/>
    <w:rsid w:val="0048513C"/>
    <w:rsid w:val="004852B5"/>
    <w:rsid w:val="0048552C"/>
    <w:rsid w:val="00485615"/>
    <w:rsid w:val="004856A3"/>
    <w:rsid w:val="004856D7"/>
    <w:rsid w:val="00485891"/>
    <w:rsid w:val="0048591F"/>
    <w:rsid w:val="0048596D"/>
    <w:rsid w:val="004859F8"/>
    <w:rsid w:val="00485A4D"/>
    <w:rsid w:val="00485A88"/>
    <w:rsid w:val="00485B04"/>
    <w:rsid w:val="00485BE8"/>
    <w:rsid w:val="00485C85"/>
    <w:rsid w:val="00485D65"/>
    <w:rsid w:val="00485DB6"/>
    <w:rsid w:val="0048619F"/>
    <w:rsid w:val="004861AB"/>
    <w:rsid w:val="00486533"/>
    <w:rsid w:val="00486A10"/>
    <w:rsid w:val="00486E4B"/>
    <w:rsid w:val="004871AA"/>
    <w:rsid w:val="00487277"/>
    <w:rsid w:val="00487467"/>
    <w:rsid w:val="00487546"/>
    <w:rsid w:val="0048762C"/>
    <w:rsid w:val="00487A60"/>
    <w:rsid w:val="00487B77"/>
    <w:rsid w:val="00487BCB"/>
    <w:rsid w:val="00490165"/>
    <w:rsid w:val="004901D5"/>
    <w:rsid w:val="00490485"/>
    <w:rsid w:val="00490494"/>
    <w:rsid w:val="004905A2"/>
    <w:rsid w:val="004909B0"/>
    <w:rsid w:val="00490D59"/>
    <w:rsid w:val="0049112E"/>
    <w:rsid w:val="004911B3"/>
    <w:rsid w:val="00491289"/>
    <w:rsid w:val="004912B0"/>
    <w:rsid w:val="00491400"/>
    <w:rsid w:val="00491489"/>
    <w:rsid w:val="004914FE"/>
    <w:rsid w:val="00491871"/>
    <w:rsid w:val="00491985"/>
    <w:rsid w:val="004919AB"/>
    <w:rsid w:val="004919F6"/>
    <w:rsid w:val="00491AB1"/>
    <w:rsid w:val="00491BC9"/>
    <w:rsid w:val="00491C31"/>
    <w:rsid w:val="00491D78"/>
    <w:rsid w:val="00492135"/>
    <w:rsid w:val="004921AC"/>
    <w:rsid w:val="00492999"/>
    <w:rsid w:val="00492B3E"/>
    <w:rsid w:val="00492CCD"/>
    <w:rsid w:val="00492D6A"/>
    <w:rsid w:val="00492E91"/>
    <w:rsid w:val="00492FB6"/>
    <w:rsid w:val="00493391"/>
    <w:rsid w:val="0049357C"/>
    <w:rsid w:val="00493585"/>
    <w:rsid w:val="00493626"/>
    <w:rsid w:val="00493680"/>
    <w:rsid w:val="0049376B"/>
    <w:rsid w:val="004939AF"/>
    <w:rsid w:val="00493C3F"/>
    <w:rsid w:val="00493C8D"/>
    <w:rsid w:val="00493D70"/>
    <w:rsid w:val="0049419B"/>
    <w:rsid w:val="004942AC"/>
    <w:rsid w:val="00494809"/>
    <w:rsid w:val="00494B2B"/>
    <w:rsid w:val="00494E19"/>
    <w:rsid w:val="00494E7A"/>
    <w:rsid w:val="00494F29"/>
    <w:rsid w:val="00494F2E"/>
    <w:rsid w:val="00494FB6"/>
    <w:rsid w:val="00494FF2"/>
    <w:rsid w:val="004953C7"/>
    <w:rsid w:val="004953D3"/>
    <w:rsid w:val="0049593E"/>
    <w:rsid w:val="00495940"/>
    <w:rsid w:val="00495A28"/>
    <w:rsid w:val="00495F4A"/>
    <w:rsid w:val="0049607F"/>
    <w:rsid w:val="00496168"/>
    <w:rsid w:val="00496490"/>
    <w:rsid w:val="0049661E"/>
    <w:rsid w:val="004967C1"/>
    <w:rsid w:val="004967D5"/>
    <w:rsid w:val="00496840"/>
    <w:rsid w:val="004969CC"/>
    <w:rsid w:val="00496EB5"/>
    <w:rsid w:val="00496EF4"/>
    <w:rsid w:val="00497257"/>
    <w:rsid w:val="004972C4"/>
    <w:rsid w:val="00497303"/>
    <w:rsid w:val="00497318"/>
    <w:rsid w:val="00497762"/>
    <w:rsid w:val="00497A32"/>
    <w:rsid w:val="00497A64"/>
    <w:rsid w:val="00497C3D"/>
    <w:rsid w:val="00497E12"/>
    <w:rsid w:val="004A00EC"/>
    <w:rsid w:val="004A0201"/>
    <w:rsid w:val="004A034C"/>
    <w:rsid w:val="004A048C"/>
    <w:rsid w:val="004A05D7"/>
    <w:rsid w:val="004A074C"/>
    <w:rsid w:val="004A075C"/>
    <w:rsid w:val="004A080A"/>
    <w:rsid w:val="004A0997"/>
    <w:rsid w:val="004A099D"/>
    <w:rsid w:val="004A0C33"/>
    <w:rsid w:val="004A0C6F"/>
    <w:rsid w:val="004A0C7C"/>
    <w:rsid w:val="004A0D27"/>
    <w:rsid w:val="004A0FB3"/>
    <w:rsid w:val="004A1171"/>
    <w:rsid w:val="004A11CA"/>
    <w:rsid w:val="004A1292"/>
    <w:rsid w:val="004A133A"/>
    <w:rsid w:val="004A136C"/>
    <w:rsid w:val="004A1405"/>
    <w:rsid w:val="004A1461"/>
    <w:rsid w:val="004A1831"/>
    <w:rsid w:val="004A1B4D"/>
    <w:rsid w:val="004A1C16"/>
    <w:rsid w:val="004A1D37"/>
    <w:rsid w:val="004A2353"/>
    <w:rsid w:val="004A253F"/>
    <w:rsid w:val="004A25B4"/>
    <w:rsid w:val="004A2753"/>
    <w:rsid w:val="004A27D0"/>
    <w:rsid w:val="004A282A"/>
    <w:rsid w:val="004A2CFF"/>
    <w:rsid w:val="004A303D"/>
    <w:rsid w:val="004A33B0"/>
    <w:rsid w:val="004A373E"/>
    <w:rsid w:val="004A3988"/>
    <w:rsid w:val="004A3ADC"/>
    <w:rsid w:val="004A3E29"/>
    <w:rsid w:val="004A41DE"/>
    <w:rsid w:val="004A4310"/>
    <w:rsid w:val="004A44FB"/>
    <w:rsid w:val="004A451E"/>
    <w:rsid w:val="004A463D"/>
    <w:rsid w:val="004A46B5"/>
    <w:rsid w:val="004A4735"/>
    <w:rsid w:val="004A48BA"/>
    <w:rsid w:val="004A4AF9"/>
    <w:rsid w:val="004A4C8B"/>
    <w:rsid w:val="004A501B"/>
    <w:rsid w:val="004A508E"/>
    <w:rsid w:val="004A52B8"/>
    <w:rsid w:val="004A533D"/>
    <w:rsid w:val="004A53F1"/>
    <w:rsid w:val="004A552F"/>
    <w:rsid w:val="004A5823"/>
    <w:rsid w:val="004A58E3"/>
    <w:rsid w:val="004A5967"/>
    <w:rsid w:val="004A59B4"/>
    <w:rsid w:val="004A5D6C"/>
    <w:rsid w:val="004A5DA3"/>
    <w:rsid w:val="004A61E8"/>
    <w:rsid w:val="004A63A9"/>
    <w:rsid w:val="004A6A24"/>
    <w:rsid w:val="004A6A75"/>
    <w:rsid w:val="004A6AC4"/>
    <w:rsid w:val="004A6AE5"/>
    <w:rsid w:val="004A6B83"/>
    <w:rsid w:val="004A6CC9"/>
    <w:rsid w:val="004A70D1"/>
    <w:rsid w:val="004A710B"/>
    <w:rsid w:val="004A74D2"/>
    <w:rsid w:val="004A75F6"/>
    <w:rsid w:val="004A7631"/>
    <w:rsid w:val="004A7660"/>
    <w:rsid w:val="004A7DA3"/>
    <w:rsid w:val="004A7E2A"/>
    <w:rsid w:val="004B068C"/>
    <w:rsid w:val="004B06E2"/>
    <w:rsid w:val="004B091A"/>
    <w:rsid w:val="004B09FB"/>
    <w:rsid w:val="004B0A98"/>
    <w:rsid w:val="004B0AD6"/>
    <w:rsid w:val="004B0EFD"/>
    <w:rsid w:val="004B1080"/>
    <w:rsid w:val="004B124E"/>
    <w:rsid w:val="004B13AE"/>
    <w:rsid w:val="004B16D7"/>
    <w:rsid w:val="004B1B43"/>
    <w:rsid w:val="004B1FA8"/>
    <w:rsid w:val="004B1FD8"/>
    <w:rsid w:val="004B2223"/>
    <w:rsid w:val="004B2233"/>
    <w:rsid w:val="004B228E"/>
    <w:rsid w:val="004B231C"/>
    <w:rsid w:val="004B23EB"/>
    <w:rsid w:val="004B2449"/>
    <w:rsid w:val="004B253E"/>
    <w:rsid w:val="004B25D1"/>
    <w:rsid w:val="004B25E0"/>
    <w:rsid w:val="004B27CF"/>
    <w:rsid w:val="004B2828"/>
    <w:rsid w:val="004B2B51"/>
    <w:rsid w:val="004B2D30"/>
    <w:rsid w:val="004B2D52"/>
    <w:rsid w:val="004B2FBD"/>
    <w:rsid w:val="004B3606"/>
    <w:rsid w:val="004B3753"/>
    <w:rsid w:val="004B3909"/>
    <w:rsid w:val="004B3DDB"/>
    <w:rsid w:val="004B3EAD"/>
    <w:rsid w:val="004B3F50"/>
    <w:rsid w:val="004B41B1"/>
    <w:rsid w:val="004B4207"/>
    <w:rsid w:val="004B4595"/>
    <w:rsid w:val="004B482E"/>
    <w:rsid w:val="004B4836"/>
    <w:rsid w:val="004B4A0D"/>
    <w:rsid w:val="004B4A4B"/>
    <w:rsid w:val="004B4AFF"/>
    <w:rsid w:val="004B4BE3"/>
    <w:rsid w:val="004B4F24"/>
    <w:rsid w:val="004B504F"/>
    <w:rsid w:val="004B53A1"/>
    <w:rsid w:val="004B53DE"/>
    <w:rsid w:val="004B5556"/>
    <w:rsid w:val="004B5AFE"/>
    <w:rsid w:val="004B5B8E"/>
    <w:rsid w:val="004B600F"/>
    <w:rsid w:val="004B6965"/>
    <w:rsid w:val="004B69F9"/>
    <w:rsid w:val="004B6A47"/>
    <w:rsid w:val="004B6A5A"/>
    <w:rsid w:val="004B6AB2"/>
    <w:rsid w:val="004B6CE6"/>
    <w:rsid w:val="004B6DD4"/>
    <w:rsid w:val="004B6FD8"/>
    <w:rsid w:val="004B7525"/>
    <w:rsid w:val="004B78E0"/>
    <w:rsid w:val="004B7BF4"/>
    <w:rsid w:val="004C0021"/>
    <w:rsid w:val="004C0618"/>
    <w:rsid w:val="004C0644"/>
    <w:rsid w:val="004C0704"/>
    <w:rsid w:val="004C0B11"/>
    <w:rsid w:val="004C0D7B"/>
    <w:rsid w:val="004C0DF5"/>
    <w:rsid w:val="004C0F98"/>
    <w:rsid w:val="004C0FB4"/>
    <w:rsid w:val="004C0FC5"/>
    <w:rsid w:val="004C1011"/>
    <w:rsid w:val="004C113D"/>
    <w:rsid w:val="004C1447"/>
    <w:rsid w:val="004C14BF"/>
    <w:rsid w:val="004C1529"/>
    <w:rsid w:val="004C155B"/>
    <w:rsid w:val="004C1575"/>
    <w:rsid w:val="004C15E4"/>
    <w:rsid w:val="004C1728"/>
    <w:rsid w:val="004C1756"/>
    <w:rsid w:val="004C193A"/>
    <w:rsid w:val="004C1CBB"/>
    <w:rsid w:val="004C1E18"/>
    <w:rsid w:val="004C1E66"/>
    <w:rsid w:val="004C1EA5"/>
    <w:rsid w:val="004C237E"/>
    <w:rsid w:val="004C25AE"/>
    <w:rsid w:val="004C27CD"/>
    <w:rsid w:val="004C281C"/>
    <w:rsid w:val="004C292A"/>
    <w:rsid w:val="004C2B41"/>
    <w:rsid w:val="004C2D7C"/>
    <w:rsid w:val="004C2D98"/>
    <w:rsid w:val="004C2E04"/>
    <w:rsid w:val="004C2F44"/>
    <w:rsid w:val="004C2F80"/>
    <w:rsid w:val="004C2FBE"/>
    <w:rsid w:val="004C327D"/>
    <w:rsid w:val="004C3283"/>
    <w:rsid w:val="004C3547"/>
    <w:rsid w:val="004C3710"/>
    <w:rsid w:val="004C3755"/>
    <w:rsid w:val="004C389D"/>
    <w:rsid w:val="004C397D"/>
    <w:rsid w:val="004C39C5"/>
    <w:rsid w:val="004C3A06"/>
    <w:rsid w:val="004C3AEA"/>
    <w:rsid w:val="004C3AEB"/>
    <w:rsid w:val="004C41F3"/>
    <w:rsid w:val="004C4328"/>
    <w:rsid w:val="004C453E"/>
    <w:rsid w:val="004C4556"/>
    <w:rsid w:val="004C4585"/>
    <w:rsid w:val="004C4B40"/>
    <w:rsid w:val="004C4C24"/>
    <w:rsid w:val="004C4D1D"/>
    <w:rsid w:val="004C4EA7"/>
    <w:rsid w:val="004C52D7"/>
    <w:rsid w:val="004C5411"/>
    <w:rsid w:val="004C56AE"/>
    <w:rsid w:val="004C56D3"/>
    <w:rsid w:val="004C5E62"/>
    <w:rsid w:val="004C5E8A"/>
    <w:rsid w:val="004C5F11"/>
    <w:rsid w:val="004C6161"/>
    <w:rsid w:val="004C6777"/>
    <w:rsid w:val="004C6880"/>
    <w:rsid w:val="004C6953"/>
    <w:rsid w:val="004C6D78"/>
    <w:rsid w:val="004C7009"/>
    <w:rsid w:val="004C7025"/>
    <w:rsid w:val="004C7068"/>
    <w:rsid w:val="004C7153"/>
    <w:rsid w:val="004C723F"/>
    <w:rsid w:val="004C7289"/>
    <w:rsid w:val="004C72C7"/>
    <w:rsid w:val="004C737A"/>
    <w:rsid w:val="004C7686"/>
    <w:rsid w:val="004C7697"/>
    <w:rsid w:val="004C77DC"/>
    <w:rsid w:val="004C788E"/>
    <w:rsid w:val="004C7943"/>
    <w:rsid w:val="004C7A14"/>
    <w:rsid w:val="004C7B25"/>
    <w:rsid w:val="004C7B37"/>
    <w:rsid w:val="004C7D90"/>
    <w:rsid w:val="004C7DD9"/>
    <w:rsid w:val="004C7E50"/>
    <w:rsid w:val="004D0036"/>
    <w:rsid w:val="004D006A"/>
    <w:rsid w:val="004D0121"/>
    <w:rsid w:val="004D0287"/>
    <w:rsid w:val="004D02DD"/>
    <w:rsid w:val="004D03B1"/>
    <w:rsid w:val="004D0478"/>
    <w:rsid w:val="004D079B"/>
    <w:rsid w:val="004D0ABB"/>
    <w:rsid w:val="004D0ACE"/>
    <w:rsid w:val="004D0B02"/>
    <w:rsid w:val="004D0B92"/>
    <w:rsid w:val="004D0C63"/>
    <w:rsid w:val="004D0D51"/>
    <w:rsid w:val="004D0F53"/>
    <w:rsid w:val="004D108B"/>
    <w:rsid w:val="004D1122"/>
    <w:rsid w:val="004D129F"/>
    <w:rsid w:val="004D1444"/>
    <w:rsid w:val="004D1460"/>
    <w:rsid w:val="004D1944"/>
    <w:rsid w:val="004D1FBC"/>
    <w:rsid w:val="004D1FF6"/>
    <w:rsid w:val="004D2204"/>
    <w:rsid w:val="004D22D7"/>
    <w:rsid w:val="004D22E1"/>
    <w:rsid w:val="004D24A3"/>
    <w:rsid w:val="004D24C2"/>
    <w:rsid w:val="004D2580"/>
    <w:rsid w:val="004D25D6"/>
    <w:rsid w:val="004D2676"/>
    <w:rsid w:val="004D26EB"/>
    <w:rsid w:val="004D2A22"/>
    <w:rsid w:val="004D2A5D"/>
    <w:rsid w:val="004D2ABD"/>
    <w:rsid w:val="004D2AC4"/>
    <w:rsid w:val="004D2B49"/>
    <w:rsid w:val="004D2B9D"/>
    <w:rsid w:val="004D2E8A"/>
    <w:rsid w:val="004D34FA"/>
    <w:rsid w:val="004D3727"/>
    <w:rsid w:val="004D39F9"/>
    <w:rsid w:val="004D3A52"/>
    <w:rsid w:val="004D3BDF"/>
    <w:rsid w:val="004D3CFB"/>
    <w:rsid w:val="004D3D6B"/>
    <w:rsid w:val="004D3F57"/>
    <w:rsid w:val="004D3F6A"/>
    <w:rsid w:val="004D4054"/>
    <w:rsid w:val="004D41C8"/>
    <w:rsid w:val="004D42D0"/>
    <w:rsid w:val="004D43D2"/>
    <w:rsid w:val="004D4516"/>
    <w:rsid w:val="004D48D7"/>
    <w:rsid w:val="004D4ACE"/>
    <w:rsid w:val="004D4BD6"/>
    <w:rsid w:val="004D4D44"/>
    <w:rsid w:val="004D4DBD"/>
    <w:rsid w:val="004D5385"/>
    <w:rsid w:val="004D5928"/>
    <w:rsid w:val="004D5B55"/>
    <w:rsid w:val="004D5B88"/>
    <w:rsid w:val="004D5F1A"/>
    <w:rsid w:val="004D60C9"/>
    <w:rsid w:val="004D6168"/>
    <w:rsid w:val="004D6312"/>
    <w:rsid w:val="004D64AC"/>
    <w:rsid w:val="004D65EB"/>
    <w:rsid w:val="004D6785"/>
    <w:rsid w:val="004D69E3"/>
    <w:rsid w:val="004D6A02"/>
    <w:rsid w:val="004D6FFB"/>
    <w:rsid w:val="004D70CB"/>
    <w:rsid w:val="004D7274"/>
    <w:rsid w:val="004D74EC"/>
    <w:rsid w:val="004D787A"/>
    <w:rsid w:val="004D7956"/>
    <w:rsid w:val="004D7C00"/>
    <w:rsid w:val="004D7D0D"/>
    <w:rsid w:val="004E020C"/>
    <w:rsid w:val="004E02DC"/>
    <w:rsid w:val="004E049D"/>
    <w:rsid w:val="004E06E2"/>
    <w:rsid w:val="004E0A56"/>
    <w:rsid w:val="004E0C86"/>
    <w:rsid w:val="004E0EEB"/>
    <w:rsid w:val="004E10B1"/>
    <w:rsid w:val="004E12D8"/>
    <w:rsid w:val="004E13A4"/>
    <w:rsid w:val="004E13F4"/>
    <w:rsid w:val="004E1417"/>
    <w:rsid w:val="004E1502"/>
    <w:rsid w:val="004E1610"/>
    <w:rsid w:val="004E177F"/>
    <w:rsid w:val="004E1A99"/>
    <w:rsid w:val="004E1C2F"/>
    <w:rsid w:val="004E1CE3"/>
    <w:rsid w:val="004E1FAF"/>
    <w:rsid w:val="004E2136"/>
    <w:rsid w:val="004E23BD"/>
    <w:rsid w:val="004E2654"/>
    <w:rsid w:val="004E2853"/>
    <w:rsid w:val="004E2C2A"/>
    <w:rsid w:val="004E32DE"/>
    <w:rsid w:val="004E389F"/>
    <w:rsid w:val="004E3CF7"/>
    <w:rsid w:val="004E4024"/>
    <w:rsid w:val="004E4041"/>
    <w:rsid w:val="004E41A7"/>
    <w:rsid w:val="004E43BB"/>
    <w:rsid w:val="004E4A82"/>
    <w:rsid w:val="004E4D01"/>
    <w:rsid w:val="004E4D73"/>
    <w:rsid w:val="004E5008"/>
    <w:rsid w:val="004E5230"/>
    <w:rsid w:val="004E57BE"/>
    <w:rsid w:val="004E58A1"/>
    <w:rsid w:val="004E5996"/>
    <w:rsid w:val="004E59AD"/>
    <w:rsid w:val="004E5B78"/>
    <w:rsid w:val="004E5BCA"/>
    <w:rsid w:val="004E5CD5"/>
    <w:rsid w:val="004E5EAB"/>
    <w:rsid w:val="004E5F7E"/>
    <w:rsid w:val="004E6053"/>
    <w:rsid w:val="004E62AB"/>
    <w:rsid w:val="004E64D8"/>
    <w:rsid w:val="004E66AE"/>
    <w:rsid w:val="004E676D"/>
    <w:rsid w:val="004E69EB"/>
    <w:rsid w:val="004E6B14"/>
    <w:rsid w:val="004E6CFB"/>
    <w:rsid w:val="004E6DFB"/>
    <w:rsid w:val="004E6E3F"/>
    <w:rsid w:val="004E6E60"/>
    <w:rsid w:val="004E6EB8"/>
    <w:rsid w:val="004E6F4C"/>
    <w:rsid w:val="004E71C6"/>
    <w:rsid w:val="004E72C7"/>
    <w:rsid w:val="004E73B5"/>
    <w:rsid w:val="004E7462"/>
    <w:rsid w:val="004E755B"/>
    <w:rsid w:val="004E76EF"/>
    <w:rsid w:val="004E7882"/>
    <w:rsid w:val="004E7A5A"/>
    <w:rsid w:val="004E7C03"/>
    <w:rsid w:val="004E7CB6"/>
    <w:rsid w:val="004E7E77"/>
    <w:rsid w:val="004F0013"/>
    <w:rsid w:val="004F0022"/>
    <w:rsid w:val="004F0376"/>
    <w:rsid w:val="004F04D2"/>
    <w:rsid w:val="004F0586"/>
    <w:rsid w:val="004F08BE"/>
    <w:rsid w:val="004F0A6C"/>
    <w:rsid w:val="004F0B2A"/>
    <w:rsid w:val="004F0B76"/>
    <w:rsid w:val="004F0E9B"/>
    <w:rsid w:val="004F0EB1"/>
    <w:rsid w:val="004F1072"/>
    <w:rsid w:val="004F112A"/>
    <w:rsid w:val="004F1AE2"/>
    <w:rsid w:val="004F1C70"/>
    <w:rsid w:val="004F214B"/>
    <w:rsid w:val="004F2183"/>
    <w:rsid w:val="004F2225"/>
    <w:rsid w:val="004F2329"/>
    <w:rsid w:val="004F2512"/>
    <w:rsid w:val="004F26B0"/>
    <w:rsid w:val="004F2872"/>
    <w:rsid w:val="004F2A3A"/>
    <w:rsid w:val="004F2ADC"/>
    <w:rsid w:val="004F2D14"/>
    <w:rsid w:val="004F3031"/>
    <w:rsid w:val="004F309C"/>
    <w:rsid w:val="004F316F"/>
    <w:rsid w:val="004F33BE"/>
    <w:rsid w:val="004F33F5"/>
    <w:rsid w:val="004F342B"/>
    <w:rsid w:val="004F3B17"/>
    <w:rsid w:val="004F3BF4"/>
    <w:rsid w:val="004F3E43"/>
    <w:rsid w:val="004F4333"/>
    <w:rsid w:val="004F44BE"/>
    <w:rsid w:val="004F4897"/>
    <w:rsid w:val="004F49DD"/>
    <w:rsid w:val="004F4C95"/>
    <w:rsid w:val="004F4DCD"/>
    <w:rsid w:val="004F4E13"/>
    <w:rsid w:val="004F4FF3"/>
    <w:rsid w:val="004F500E"/>
    <w:rsid w:val="004F51B1"/>
    <w:rsid w:val="004F52E4"/>
    <w:rsid w:val="004F5801"/>
    <w:rsid w:val="004F5886"/>
    <w:rsid w:val="004F58B5"/>
    <w:rsid w:val="004F5980"/>
    <w:rsid w:val="004F5A1D"/>
    <w:rsid w:val="004F5AC8"/>
    <w:rsid w:val="004F5B3D"/>
    <w:rsid w:val="004F6285"/>
    <w:rsid w:val="004F64A8"/>
    <w:rsid w:val="004F6837"/>
    <w:rsid w:val="004F686A"/>
    <w:rsid w:val="004F6900"/>
    <w:rsid w:val="004F6A85"/>
    <w:rsid w:val="004F6D7B"/>
    <w:rsid w:val="004F6F57"/>
    <w:rsid w:val="004F72CE"/>
    <w:rsid w:val="004F77C8"/>
    <w:rsid w:val="004F78FA"/>
    <w:rsid w:val="004F7E91"/>
    <w:rsid w:val="0050067D"/>
    <w:rsid w:val="0050080F"/>
    <w:rsid w:val="0050096D"/>
    <w:rsid w:val="00500C59"/>
    <w:rsid w:val="00500F74"/>
    <w:rsid w:val="0050109A"/>
    <w:rsid w:val="00501149"/>
    <w:rsid w:val="005012B0"/>
    <w:rsid w:val="00501477"/>
    <w:rsid w:val="0050157D"/>
    <w:rsid w:val="00501588"/>
    <w:rsid w:val="0050172B"/>
    <w:rsid w:val="00501746"/>
    <w:rsid w:val="00501765"/>
    <w:rsid w:val="0050179D"/>
    <w:rsid w:val="00501B43"/>
    <w:rsid w:val="00501BDA"/>
    <w:rsid w:val="00501F8A"/>
    <w:rsid w:val="00501FCD"/>
    <w:rsid w:val="0050222B"/>
    <w:rsid w:val="005023E3"/>
    <w:rsid w:val="0050269F"/>
    <w:rsid w:val="005027C5"/>
    <w:rsid w:val="005028BB"/>
    <w:rsid w:val="00502B9C"/>
    <w:rsid w:val="00502C5F"/>
    <w:rsid w:val="00502F7C"/>
    <w:rsid w:val="005033D9"/>
    <w:rsid w:val="00503713"/>
    <w:rsid w:val="00503869"/>
    <w:rsid w:val="005039E6"/>
    <w:rsid w:val="00503E17"/>
    <w:rsid w:val="00503F36"/>
    <w:rsid w:val="00504113"/>
    <w:rsid w:val="00504156"/>
    <w:rsid w:val="005041DD"/>
    <w:rsid w:val="005043D2"/>
    <w:rsid w:val="00504696"/>
    <w:rsid w:val="005049AE"/>
    <w:rsid w:val="005049EF"/>
    <w:rsid w:val="00504A2D"/>
    <w:rsid w:val="00504AE7"/>
    <w:rsid w:val="00505146"/>
    <w:rsid w:val="005052A9"/>
    <w:rsid w:val="005052C6"/>
    <w:rsid w:val="005055DB"/>
    <w:rsid w:val="00505793"/>
    <w:rsid w:val="0050580C"/>
    <w:rsid w:val="00505A72"/>
    <w:rsid w:val="00505D0E"/>
    <w:rsid w:val="00505D91"/>
    <w:rsid w:val="00505F2C"/>
    <w:rsid w:val="00505F2F"/>
    <w:rsid w:val="005060C3"/>
    <w:rsid w:val="005060EC"/>
    <w:rsid w:val="005060F4"/>
    <w:rsid w:val="005063CE"/>
    <w:rsid w:val="005064C4"/>
    <w:rsid w:val="0050669F"/>
    <w:rsid w:val="00506702"/>
    <w:rsid w:val="00506762"/>
    <w:rsid w:val="00506763"/>
    <w:rsid w:val="0050678A"/>
    <w:rsid w:val="005068D5"/>
    <w:rsid w:val="005068F9"/>
    <w:rsid w:val="0050692E"/>
    <w:rsid w:val="00506C3C"/>
    <w:rsid w:val="00507058"/>
    <w:rsid w:val="00507108"/>
    <w:rsid w:val="00507135"/>
    <w:rsid w:val="00507341"/>
    <w:rsid w:val="005074E7"/>
    <w:rsid w:val="00507503"/>
    <w:rsid w:val="0050782D"/>
    <w:rsid w:val="00507B5A"/>
    <w:rsid w:val="00507BE7"/>
    <w:rsid w:val="00507E52"/>
    <w:rsid w:val="00507F6A"/>
    <w:rsid w:val="00510007"/>
    <w:rsid w:val="00510182"/>
    <w:rsid w:val="005101A4"/>
    <w:rsid w:val="005101DC"/>
    <w:rsid w:val="00510295"/>
    <w:rsid w:val="00510296"/>
    <w:rsid w:val="0051067D"/>
    <w:rsid w:val="00510B20"/>
    <w:rsid w:val="00510D4F"/>
    <w:rsid w:val="00510E93"/>
    <w:rsid w:val="0051113C"/>
    <w:rsid w:val="005115CF"/>
    <w:rsid w:val="005116BB"/>
    <w:rsid w:val="005118F7"/>
    <w:rsid w:val="00511F57"/>
    <w:rsid w:val="00511FCA"/>
    <w:rsid w:val="00511FEA"/>
    <w:rsid w:val="005120D6"/>
    <w:rsid w:val="00512172"/>
    <w:rsid w:val="0051218D"/>
    <w:rsid w:val="00512679"/>
    <w:rsid w:val="005126C4"/>
    <w:rsid w:val="00512801"/>
    <w:rsid w:val="00512A0B"/>
    <w:rsid w:val="00512A2E"/>
    <w:rsid w:val="00512A58"/>
    <w:rsid w:val="00512F4B"/>
    <w:rsid w:val="00512F7B"/>
    <w:rsid w:val="00513594"/>
    <w:rsid w:val="00513632"/>
    <w:rsid w:val="005139DA"/>
    <w:rsid w:val="00513A0A"/>
    <w:rsid w:val="00513E27"/>
    <w:rsid w:val="00513ED4"/>
    <w:rsid w:val="00513F78"/>
    <w:rsid w:val="005142B4"/>
    <w:rsid w:val="005142EF"/>
    <w:rsid w:val="0051437A"/>
    <w:rsid w:val="00514782"/>
    <w:rsid w:val="00514874"/>
    <w:rsid w:val="00514D6A"/>
    <w:rsid w:val="00514F69"/>
    <w:rsid w:val="00515312"/>
    <w:rsid w:val="0051567E"/>
    <w:rsid w:val="005156CF"/>
    <w:rsid w:val="005157F3"/>
    <w:rsid w:val="00515887"/>
    <w:rsid w:val="00515BAD"/>
    <w:rsid w:val="00515F8D"/>
    <w:rsid w:val="00516123"/>
    <w:rsid w:val="00516324"/>
    <w:rsid w:val="0051632F"/>
    <w:rsid w:val="00516890"/>
    <w:rsid w:val="00516A64"/>
    <w:rsid w:val="00516C70"/>
    <w:rsid w:val="00517172"/>
    <w:rsid w:val="00517466"/>
    <w:rsid w:val="0051756A"/>
    <w:rsid w:val="00517819"/>
    <w:rsid w:val="0051790D"/>
    <w:rsid w:val="00517C31"/>
    <w:rsid w:val="00517F6F"/>
    <w:rsid w:val="00517FC7"/>
    <w:rsid w:val="00520338"/>
    <w:rsid w:val="0052062C"/>
    <w:rsid w:val="00520EE1"/>
    <w:rsid w:val="0052102D"/>
    <w:rsid w:val="0052137B"/>
    <w:rsid w:val="0052149B"/>
    <w:rsid w:val="00521603"/>
    <w:rsid w:val="00521784"/>
    <w:rsid w:val="005217DE"/>
    <w:rsid w:val="0052190E"/>
    <w:rsid w:val="00521992"/>
    <w:rsid w:val="00521B0A"/>
    <w:rsid w:val="00521BB7"/>
    <w:rsid w:val="00521FE1"/>
    <w:rsid w:val="00522105"/>
    <w:rsid w:val="00522243"/>
    <w:rsid w:val="0052225E"/>
    <w:rsid w:val="00522311"/>
    <w:rsid w:val="00522453"/>
    <w:rsid w:val="005224EC"/>
    <w:rsid w:val="005226C6"/>
    <w:rsid w:val="00522718"/>
    <w:rsid w:val="00522AFB"/>
    <w:rsid w:val="00522F5C"/>
    <w:rsid w:val="00523065"/>
    <w:rsid w:val="005230C9"/>
    <w:rsid w:val="0052350C"/>
    <w:rsid w:val="0052353F"/>
    <w:rsid w:val="00523565"/>
    <w:rsid w:val="0052360D"/>
    <w:rsid w:val="005236EF"/>
    <w:rsid w:val="00523728"/>
    <w:rsid w:val="0052384B"/>
    <w:rsid w:val="00523D4D"/>
    <w:rsid w:val="00524085"/>
    <w:rsid w:val="00524249"/>
    <w:rsid w:val="0052436F"/>
    <w:rsid w:val="00524380"/>
    <w:rsid w:val="0052439E"/>
    <w:rsid w:val="00524540"/>
    <w:rsid w:val="0052463B"/>
    <w:rsid w:val="00524927"/>
    <w:rsid w:val="005249E1"/>
    <w:rsid w:val="005249EF"/>
    <w:rsid w:val="00524C09"/>
    <w:rsid w:val="00524E71"/>
    <w:rsid w:val="00524F35"/>
    <w:rsid w:val="00524F43"/>
    <w:rsid w:val="00524FAA"/>
    <w:rsid w:val="0052503F"/>
    <w:rsid w:val="005251F3"/>
    <w:rsid w:val="00525474"/>
    <w:rsid w:val="00525502"/>
    <w:rsid w:val="005256A3"/>
    <w:rsid w:val="005256D1"/>
    <w:rsid w:val="00525A15"/>
    <w:rsid w:val="00525BFA"/>
    <w:rsid w:val="00525DD3"/>
    <w:rsid w:val="00526097"/>
    <w:rsid w:val="00526500"/>
    <w:rsid w:val="00526643"/>
    <w:rsid w:val="0052678C"/>
    <w:rsid w:val="00526867"/>
    <w:rsid w:val="00526A07"/>
    <w:rsid w:val="00526AC7"/>
    <w:rsid w:val="00526B11"/>
    <w:rsid w:val="00526C89"/>
    <w:rsid w:val="00526EA0"/>
    <w:rsid w:val="00526EAB"/>
    <w:rsid w:val="00526F0A"/>
    <w:rsid w:val="0052719E"/>
    <w:rsid w:val="00527234"/>
    <w:rsid w:val="0052743D"/>
    <w:rsid w:val="00527487"/>
    <w:rsid w:val="00527789"/>
    <w:rsid w:val="00527819"/>
    <w:rsid w:val="0052781C"/>
    <w:rsid w:val="00527918"/>
    <w:rsid w:val="00527926"/>
    <w:rsid w:val="005279F3"/>
    <w:rsid w:val="00527D9B"/>
    <w:rsid w:val="00527ED8"/>
    <w:rsid w:val="00530003"/>
    <w:rsid w:val="00530526"/>
    <w:rsid w:val="00530539"/>
    <w:rsid w:val="005309CA"/>
    <w:rsid w:val="00530AED"/>
    <w:rsid w:val="00530EAE"/>
    <w:rsid w:val="00530F87"/>
    <w:rsid w:val="005310A3"/>
    <w:rsid w:val="005310D6"/>
    <w:rsid w:val="0053112F"/>
    <w:rsid w:val="00531154"/>
    <w:rsid w:val="005311B0"/>
    <w:rsid w:val="005312DF"/>
    <w:rsid w:val="005313B6"/>
    <w:rsid w:val="005314B3"/>
    <w:rsid w:val="005315D6"/>
    <w:rsid w:val="0053169D"/>
    <w:rsid w:val="00531BF8"/>
    <w:rsid w:val="00531E78"/>
    <w:rsid w:val="00531F6D"/>
    <w:rsid w:val="00532030"/>
    <w:rsid w:val="00532176"/>
    <w:rsid w:val="0053267F"/>
    <w:rsid w:val="00532CA1"/>
    <w:rsid w:val="00532CF7"/>
    <w:rsid w:val="00532D17"/>
    <w:rsid w:val="00532DD0"/>
    <w:rsid w:val="00532F9D"/>
    <w:rsid w:val="005334AA"/>
    <w:rsid w:val="00533534"/>
    <w:rsid w:val="00533672"/>
    <w:rsid w:val="0053378E"/>
    <w:rsid w:val="00533914"/>
    <w:rsid w:val="0053399C"/>
    <w:rsid w:val="00533D4B"/>
    <w:rsid w:val="00533E19"/>
    <w:rsid w:val="00533EDF"/>
    <w:rsid w:val="00533FDB"/>
    <w:rsid w:val="00534487"/>
    <w:rsid w:val="00534579"/>
    <w:rsid w:val="00534B06"/>
    <w:rsid w:val="00534FC7"/>
    <w:rsid w:val="00535567"/>
    <w:rsid w:val="005356E5"/>
    <w:rsid w:val="0053585F"/>
    <w:rsid w:val="00535BAB"/>
    <w:rsid w:val="00535C47"/>
    <w:rsid w:val="00535CCF"/>
    <w:rsid w:val="00535E8D"/>
    <w:rsid w:val="00536182"/>
    <w:rsid w:val="0053634A"/>
    <w:rsid w:val="0053660B"/>
    <w:rsid w:val="0053675F"/>
    <w:rsid w:val="00536793"/>
    <w:rsid w:val="005367A1"/>
    <w:rsid w:val="00536BBC"/>
    <w:rsid w:val="00536D4A"/>
    <w:rsid w:val="00536DC3"/>
    <w:rsid w:val="005370F5"/>
    <w:rsid w:val="0053721B"/>
    <w:rsid w:val="0053736D"/>
    <w:rsid w:val="00537416"/>
    <w:rsid w:val="0053751D"/>
    <w:rsid w:val="005375F0"/>
    <w:rsid w:val="0053783A"/>
    <w:rsid w:val="005379F5"/>
    <w:rsid w:val="00537DBB"/>
    <w:rsid w:val="0054006C"/>
    <w:rsid w:val="0054032B"/>
    <w:rsid w:val="0054057F"/>
    <w:rsid w:val="00540593"/>
    <w:rsid w:val="005405EB"/>
    <w:rsid w:val="005406D0"/>
    <w:rsid w:val="005408AB"/>
    <w:rsid w:val="00540BBA"/>
    <w:rsid w:val="00540F33"/>
    <w:rsid w:val="00540FE9"/>
    <w:rsid w:val="00541355"/>
    <w:rsid w:val="0054142B"/>
    <w:rsid w:val="00541780"/>
    <w:rsid w:val="00541A64"/>
    <w:rsid w:val="00541B34"/>
    <w:rsid w:val="00541D33"/>
    <w:rsid w:val="00541D5F"/>
    <w:rsid w:val="0054227A"/>
    <w:rsid w:val="005422AF"/>
    <w:rsid w:val="005426B1"/>
    <w:rsid w:val="00542866"/>
    <w:rsid w:val="005428CF"/>
    <w:rsid w:val="005428D4"/>
    <w:rsid w:val="00542B14"/>
    <w:rsid w:val="00542BFD"/>
    <w:rsid w:val="00542CC9"/>
    <w:rsid w:val="0054303D"/>
    <w:rsid w:val="0054344F"/>
    <w:rsid w:val="005435F5"/>
    <w:rsid w:val="005439B9"/>
    <w:rsid w:val="00543E7A"/>
    <w:rsid w:val="00543F85"/>
    <w:rsid w:val="00544306"/>
    <w:rsid w:val="0054431B"/>
    <w:rsid w:val="00544495"/>
    <w:rsid w:val="00544792"/>
    <w:rsid w:val="00544DDA"/>
    <w:rsid w:val="005450D0"/>
    <w:rsid w:val="005452B8"/>
    <w:rsid w:val="00545420"/>
    <w:rsid w:val="00545606"/>
    <w:rsid w:val="00545883"/>
    <w:rsid w:val="005459FD"/>
    <w:rsid w:val="00545CF8"/>
    <w:rsid w:val="00545DBF"/>
    <w:rsid w:val="00546147"/>
    <w:rsid w:val="00546303"/>
    <w:rsid w:val="00546607"/>
    <w:rsid w:val="00546634"/>
    <w:rsid w:val="00546893"/>
    <w:rsid w:val="00546960"/>
    <w:rsid w:val="005473F0"/>
    <w:rsid w:val="00547448"/>
    <w:rsid w:val="00547560"/>
    <w:rsid w:val="00547595"/>
    <w:rsid w:val="00547B79"/>
    <w:rsid w:val="00547B7F"/>
    <w:rsid w:val="00547C36"/>
    <w:rsid w:val="00547D58"/>
    <w:rsid w:val="00547F16"/>
    <w:rsid w:val="005500E5"/>
    <w:rsid w:val="005502E7"/>
    <w:rsid w:val="00550415"/>
    <w:rsid w:val="00550416"/>
    <w:rsid w:val="00550470"/>
    <w:rsid w:val="005507A2"/>
    <w:rsid w:val="00550AD9"/>
    <w:rsid w:val="00550B0A"/>
    <w:rsid w:val="00550BD4"/>
    <w:rsid w:val="00550DE7"/>
    <w:rsid w:val="00550E14"/>
    <w:rsid w:val="00550F41"/>
    <w:rsid w:val="00550F49"/>
    <w:rsid w:val="0055126C"/>
    <w:rsid w:val="00551679"/>
    <w:rsid w:val="00551771"/>
    <w:rsid w:val="00551E5C"/>
    <w:rsid w:val="00551E61"/>
    <w:rsid w:val="00551F60"/>
    <w:rsid w:val="00552006"/>
    <w:rsid w:val="005520AD"/>
    <w:rsid w:val="00552324"/>
    <w:rsid w:val="00552365"/>
    <w:rsid w:val="00552457"/>
    <w:rsid w:val="005524A2"/>
    <w:rsid w:val="005526F1"/>
    <w:rsid w:val="0055272D"/>
    <w:rsid w:val="0055278A"/>
    <w:rsid w:val="00552B59"/>
    <w:rsid w:val="00552C80"/>
    <w:rsid w:val="00552DC8"/>
    <w:rsid w:val="00553426"/>
    <w:rsid w:val="00553466"/>
    <w:rsid w:val="00553534"/>
    <w:rsid w:val="005535E2"/>
    <w:rsid w:val="00553CF1"/>
    <w:rsid w:val="00553D37"/>
    <w:rsid w:val="00553D49"/>
    <w:rsid w:val="00553F41"/>
    <w:rsid w:val="005541B7"/>
    <w:rsid w:val="005541D6"/>
    <w:rsid w:val="005545EE"/>
    <w:rsid w:val="005546C9"/>
    <w:rsid w:val="00554732"/>
    <w:rsid w:val="0055474B"/>
    <w:rsid w:val="00554753"/>
    <w:rsid w:val="005547AB"/>
    <w:rsid w:val="0055504F"/>
    <w:rsid w:val="00555068"/>
    <w:rsid w:val="0055527A"/>
    <w:rsid w:val="005553B9"/>
    <w:rsid w:val="005554E0"/>
    <w:rsid w:val="005555AD"/>
    <w:rsid w:val="00555670"/>
    <w:rsid w:val="00555750"/>
    <w:rsid w:val="0055592B"/>
    <w:rsid w:val="00555969"/>
    <w:rsid w:val="00556321"/>
    <w:rsid w:val="0055656F"/>
    <w:rsid w:val="0055679F"/>
    <w:rsid w:val="0055692A"/>
    <w:rsid w:val="005569E9"/>
    <w:rsid w:val="00556AEC"/>
    <w:rsid w:val="00556DBC"/>
    <w:rsid w:val="00556F2E"/>
    <w:rsid w:val="00556F4D"/>
    <w:rsid w:val="00556F70"/>
    <w:rsid w:val="00557066"/>
    <w:rsid w:val="00557307"/>
    <w:rsid w:val="0055750B"/>
    <w:rsid w:val="0055754D"/>
    <w:rsid w:val="0055754E"/>
    <w:rsid w:val="00557767"/>
    <w:rsid w:val="00557805"/>
    <w:rsid w:val="00557891"/>
    <w:rsid w:val="00557CA4"/>
    <w:rsid w:val="00560061"/>
    <w:rsid w:val="0056016C"/>
    <w:rsid w:val="00560184"/>
    <w:rsid w:val="005601A5"/>
    <w:rsid w:val="00560254"/>
    <w:rsid w:val="00560273"/>
    <w:rsid w:val="00560396"/>
    <w:rsid w:val="0056056F"/>
    <w:rsid w:val="0056058E"/>
    <w:rsid w:val="0056093A"/>
    <w:rsid w:val="005609D2"/>
    <w:rsid w:val="00560A51"/>
    <w:rsid w:val="00560AB2"/>
    <w:rsid w:val="00560B99"/>
    <w:rsid w:val="00560CC4"/>
    <w:rsid w:val="005610CC"/>
    <w:rsid w:val="00561194"/>
    <w:rsid w:val="00561333"/>
    <w:rsid w:val="0056139B"/>
    <w:rsid w:val="005614D3"/>
    <w:rsid w:val="005618D0"/>
    <w:rsid w:val="00561A70"/>
    <w:rsid w:val="00561B10"/>
    <w:rsid w:val="00561B75"/>
    <w:rsid w:val="00561E96"/>
    <w:rsid w:val="00561F6F"/>
    <w:rsid w:val="0056213A"/>
    <w:rsid w:val="005624EF"/>
    <w:rsid w:val="00562EA6"/>
    <w:rsid w:val="00563097"/>
    <w:rsid w:val="005630A6"/>
    <w:rsid w:val="005633CD"/>
    <w:rsid w:val="00563441"/>
    <w:rsid w:val="00563896"/>
    <w:rsid w:val="00563A54"/>
    <w:rsid w:val="00563B08"/>
    <w:rsid w:val="00563B2F"/>
    <w:rsid w:val="00563BBD"/>
    <w:rsid w:val="00563C08"/>
    <w:rsid w:val="00563C72"/>
    <w:rsid w:val="00563CF4"/>
    <w:rsid w:val="00563EA8"/>
    <w:rsid w:val="00563EB7"/>
    <w:rsid w:val="00563F5E"/>
    <w:rsid w:val="0056437B"/>
    <w:rsid w:val="00564484"/>
    <w:rsid w:val="005647B2"/>
    <w:rsid w:val="00564AC0"/>
    <w:rsid w:val="0056511C"/>
    <w:rsid w:val="005652F9"/>
    <w:rsid w:val="00565372"/>
    <w:rsid w:val="00565441"/>
    <w:rsid w:val="00565499"/>
    <w:rsid w:val="005656D3"/>
    <w:rsid w:val="0056595B"/>
    <w:rsid w:val="00565FF8"/>
    <w:rsid w:val="00566780"/>
    <w:rsid w:val="00566967"/>
    <w:rsid w:val="00566A35"/>
    <w:rsid w:val="00566D92"/>
    <w:rsid w:val="00567091"/>
    <w:rsid w:val="00567394"/>
    <w:rsid w:val="005675C7"/>
    <w:rsid w:val="005675CD"/>
    <w:rsid w:val="005675E9"/>
    <w:rsid w:val="00567642"/>
    <w:rsid w:val="005677C1"/>
    <w:rsid w:val="005677E2"/>
    <w:rsid w:val="00567A6B"/>
    <w:rsid w:val="005704FF"/>
    <w:rsid w:val="00570CC1"/>
    <w:rsid w:val="00570D62"/>
    <w:rsid w:val="00570E55"/>
    <w:rsid w:val="005710A4"/>
    <w:rsid w:val="005710C6"/>
    <w:rsid w:val="00571378"/>
    <w:rsid w:val="00571461"/>
    <w:rsid w:val="00571491"/>
    <w:rsid w:val="00571ABB"/>
    <w:rsid w:val="00571F36"/>
    <w:rsid w:val="00572059"/>
    <w:rsid w:val="0057218D"/>
    <w:rsid w:val="0057224E"/>
    <w:rsid w:val="005723D8"/>
    <w:rsid w:val="00572710"/>
    <w:rsid w:val="005727AA"/>
    <w:rsid w:val="005727C0"/>
    <w:rsid w:val="00572C47"/>
    <w:rsid w:val="00572F02"/>
    <w:rsid w:val="00572FE3"/>
    <w:rsid w:val="005732C5"/>
    <w:rsid w:val="00573855"/>
    <w:rsid w:val="005738EE"/>
    <w:rsid w:val="00573C42"/>
    <w:rsid w:val="00573D1B"/>
    <w:rsid w:val="00573FF4"/>
    <w:rsid w:val="00573FFC"/>
    <w:rsid w:val="0057423B"/>
    <w:rsid w:val="00574527"/>
    <w:rsid w:val="005746B1"/>
    <w:rsid w:val="00574A51"/>
    <w:rsid w:val="00575105"/>
    <w:rsid w:val="00575218"/>
    <w:rsid w:val="0057542C"/>
    <w:rsid w:val="005756A2"/>
    <w:rsid w:val="00575E4D"/>
    <w:rsid w:val="0057604A"/>
    <w:rsid w:val="005760CE"/>
    <w:rsid w:val="005762C8"/>
    <w:rsid w:val="005762E1"/>
    <w:rsid w:val="005768BA"/>
    <w:rsid w:val="00576A69"/>
    <w:rsid w:val="00576B29"/>
    <w:rsid w:val="00576DFD"/>
    <w:rsid w:val="0057702D"/>
    <w:rsid w:val="0057704C"/>
    <w:rsid w:val="0057706A"/>
    <w:rsid w:val="005771E0"/>
    <w:rsid w:val="005772DB"/>
    <w:rsid w:val="00577307"/>
    <w:rsid w:val="00577547"/>
    <w:rsid w:val="0057769F"/>
    <w:rsid w:val="00577944"/>
    <w:rsid w:val="00577B73"/>
    <w:rsid w:val="00577D46"/>
    <w:rsid w:val="00577DC4"/>
    <w:rsid w:val="00577F3B"/>
    <w:rsid w:val="00577FBE"/>
    <w:rsid w:val="0058003D"/>
    <w:rsid w:val="00580329"/>
    <w:rsid w:val="0058040C"/>
    <w:rsid w:val="005804D3"/>
    <w:rsid w:val="00580955"/>
    <w:rsid w:val="00580A24"/>
    <w:rsid w:val="00580E2A"/>
    <w:rsid w:val="00580F78"/>
    <w:rsid w:val="00581055"/>
    <w:rsid w:val="0058120C"/>
    <w:rsid w:val="00581286"/>
    <w:rsid w:val="005814FE"/>
    <w:rsid w:val="0058184F"/>
    <w:rsid w:val="00581A46"/>
    <w:rsid w:val="00581BC8"/>
    <w:rsid w:val="00581C6E"/>
    <w:rsid w:val="00581E3A"/>
    <w:rsid w:val="00581F83"/>
    <w:rsid w:val="0058211C"/>
    <w:rsid w:val="0058238A"/>
    <w:rsid w:val="005824DB"/>
    <w:rsid w:val="0058254D"/>
    <w:rsid w:val="00582A6A"/>
    <w:rsid w:val="00582AEF"/>
    <w:rsid w:val="00582B1C"/>
    <w:rsid w:val="00582CA7"/>
    <w:rsid w:val="00582DB8"/>
    <w:rsid w:val="00582F6D"/>
    <w:rsid w:val="0058303E"/>
    <w:rsid w:val="005830E3"/>
    <w:rsid w:val="0058326C"/>
    <w:rsid w:val="00583341"/>
    <w:rsid w:val="00583720"/>
    <w:rsid w:val="00583821"/>
    <w:rsid w:val="00583D85"/>
    <w:rsid w:val="0058403F"/>
    <w:rsid w:val="00584557"/>
    <w:rsid w:val="00584590"/>
    <w:rsid w:val="0058461D"/>
    <w:rsid w:val="005848E2"/>
    <w:rsid w:val="00584B40"/>
    <w:rsid w:val="00584E64"/>
    <w:rsid w:val="00584ECC"/>
    <w:rsid w:val="0058501F"/>
    <w:rsid w:val="005850D2"/>
    <w:rsid w:val="0058538A"/>
    <w:rsid w:val="0058541C"/>
    <w:rsid w:val="005854D8"/>
    <w:rsid w:val="005857DC"/>
    <w:rsid w:val="00585975"/>
    <w:rsid w:val="005859AB"/>
    <w:rsid w:val="00585A3E"/>
    <w:rsid w:val="00585C03"/>
    <w:rsid w:val="00585E88"/>
    <w:rsid w:val="005861BB"/>
    <w:rsid w:val="005866CE"/>
    <w:rsid w:val="005867E0"/>
    <w:rsid w:val="0058692C"/>
    <w:rsid w:val="00586A4F"/>
    <w:rsid w:val="00586CD3"/>
    <w:rsid w:val="00586DD2"/>
    <w:rsid w:val="00586E68"/>
    <w:rsid w:val="00587159"/>
    <w:rsid w:val="005874D0"/>
    <w:rsid w:val="005877DB"/>
    <w:rsid w:val="00587B25"/>
    <w:rsid w:val="00590066"/>
    <w:rsid w:val="0059019B"/>
    <w:rsid w:val="005904FA"/>
    <w:rsid w:val="005909C4"/>
    <w:rsid w:val="00590B3E"/>
    <w:rsid w:val="00590B92"/>
    <w:rsid w:val="0059117A"/>
    <w:rsid w:val="00591865"/>
    <w:rsid w:val="0059188F"/>
    <w:rsid w:val="0059193A"/>
    <w:rsid w:val="00591A3E"/>
    <w:rsid w:val="00591A5E"/>
    <w:rsid w:val="00591B10"/>
    <w:rsid w:val="00591B2F"/>
    <w:rsid w:val="00591CDF"/>
    <w:rsid w:val="00591EA9"/>
    <w:rsid w:val="005920AA"/>
    <w:rsid w:val="00592523"/>
    <w:rsid w:val="0059269E"/>
    <w:rsid w:val="00592924"/>
    <w:rsid w:val="005929B5"/>
    <w:rsid w:val="00592C93"/>
    <w:rsid w:val="00592CAB"/>
    <w:rsid w:val="00592D1D"/>
    <w:rsid w:val="00592D3E"/>
    <w:rsid w:val="005930F2"/>
    <w:rsid w:val="0059310C"/>
    <w:rsid w:val="0059347F"/>
    <w:rsid w:val="0059352F"/>
    <w:rsid w:val="0059354A"/>
    <w:rsid w:val="005936E7"/>
    <w:rsid w:val="0059380E"/>
    <w:rsid w:val="00593A42"/>
    <w:rsid w:val="00593C3B"/>
    <w:rsid w:val="00593CEB"/>
    <w:rsid w:val="00593EAA"/>
    <w:rsid w:val="005944E5"/>
    <w:rsid w:val="0059469D"/>
    <w:rsid w:val="005946E1"/>
    <w:rsid w:val="0059478B"/>
    <w:rsid w:val="005948DA"/>
    <w:rsid w:val="005949ED"/>
    <w:rsid w:val="00594C33"/>
    <w:rsid w:val="00594DFA"/>
    <w:rsid w:val="00594F0C"/>
    <w:rsid w:val="00594F86"/>
    <w:rsid w:val="00595D29"/>
    <w:rsid w:val="00595E26"/>
    <w:rsid w:val="00595F9C"/>
    <w:rsid w:val="0059618E"/>
    <w:rsid w:val="005963CD"/>
    <w:rsid w:val="005966DD"/>
    <w:rsid w:val="0059678A"/>
    <w:rsid w:val="00596891"/>
    <w:rsid w:val="00596916"/>
    <w:rsid w:val="00596961"/>
    <w:rsid w:val="00596A87"/>
    <w:rsid w:val="00596C2B"/>
    <w:rsid w:val="0059729A"/>
    <w:rsid w:val="00597677"/>
    <w:rsid w:val="00597742"/>
    <w:rsid w:val="0059789E"/>
    <w:rsid w:val="00597A02"/>
    <w:rsid w:val="00597B08"/>
    <w:rsid w:val="00597B19"/>
    <w:rsid w:val="00597CAE"/>
    <w:rsid w:val="00597CF6"/>
    <w:rsid w:val="00597EF9"/>
    <w:rsid w:val="005A0041"/>
    <w:rsid w:val="005A021E"/>
    <w:rsid w:val="005A024B"/>
    <w:rsid w:val="005A0698"/>
    <w:rsid w:val="005A0699"/>
    <w:rsid w:val="005A06C3"/>
    <w:rsid w:val="005A0E0B"/>
    <w:rsid w:val="005A0F19"/>
    <w:rsid w:val="005A1223"/>
    <w:rsid w:val="005A14DC"/>
    <w:rsid w:val="005A1676"/>
    <w:rsid w:val="005A19AB"/>
    <w:rsid w:val="005A1A27"/>
    <w:rsid w:val="005A1CA8"/>
    <w:rsid w:val="005A1D39"/>
    <w:rsid w:val="005A2284"/>
    <w:rsid w:val="005A22EF"/>
    <w:rsid w:val="005A24EF"/>
    <w:rsid w:val="005A2685"/>
    <w:rsid w:val="005A288B"/>
    <w:rsid w:val="005A2923"/>
    <w:rsid w:val="005A2A7C"/>
    <w:rsid w:val="005A3010"/>
    <w:rsid w:val="005A3392"/>
    <w:rsid w:val="005A34BE"/>
    <w:rsid w:val="005A34F3"/>
    <w:rsid w:val="005A36EB"/>
    <w:rsid w:val="005A3B63"/>
    <w:rsid w:val="005A3B86"/>
    <w:rsid w:val="005A3BCA"/>
    <w:rsid w:val="005A3C9C"/>
    <w:rsid w:val="005A3CD0"/>
    <w:rsid w:val="005A3D2E"/>
    <w:rsid w:val="005A3E77"/>
    <w:rsid w:val="005A3F90"/>
    <w:rsid w:val="005A3FD0"/>
    <w:rsid w:val="005A450A"/>
    <w:rsid w:val="005A45BE"/>
    <w:rsid w:val="005A46D2"/>
    <w:rsid w:val="005A4708"/>
    <w:rsid w:val="005A4C35"/>
    <w:rsid w:val="005A4CFE"/>
    <w:rsid w:val="005A4DDB"/>
    <w:rsid w:val="005A4F1A"/>
    <w:rsid w:val="005A5043"/>
    <w:rsid w:val="005A5143"/>
    <w:rsid w:val="005A5220"/>
    <w:rsid w:val="005A5282"/>
    <w:rsid w:val="005A52A3"/>
    <w:rsid w:val="005A5617"/>
    <w:rsid w:val="005A5643"/>
    <w:rsid w:val="005A56C8"/>
    <w:rsid w:val="005A5749"/>
    <w:rsid w:val="005A57F8"/>
    <w:rsid w:val="005A59DD"/>
    <w:rsid w:val="005A61F8"/>
    <w:rsid w:val="005A67A0"/>
    <w:rsid w:val="005A67A8"/>
    <w:rsid w:val="005A682C"/>
    <w:rsid w:val="005A69F8"/>
    <w:rsid w:val="005A6BA6"/>
    <w:rsid w:val="005A6CE5"/>
    <w:rsid w:val="005A6EB3"/>
    <w:rsid w:val="005A6EC9"/>
    <w:rsid w:val="005A6F56"/>
    <w:rsid w:val="005A6FAE"/>
    <w:rsid w:val="005A703C"/>
    <w:rsid w:val="005A709F"/>
    <w:rsid w:val="005A70BC"/>
    <w:rsid w:val="005A7383"/>
    <w:rsid w:val="005A764B"/>
    <w:rsid w:val="005A7983"/>
    <w:rsid w:val="005A7D7D"/>
    <w:rsid w:val="005A7D97"/>
    <w:rsid w:val="005A7F36"/>
    <w:rsid w:val="005A7F6E"/>
    <w:rsid w:val="005B018E"/>
    <w:rsid w:val="005B0376"/>
    <w:rsid w:val="005B04E4"/>
    <w:rsid w:val="005B0718"/>
    <w:rsid w:val="005B0AF8"/>
    <w:rsid w:val="005B0BA2"/>
    <w:rsid w:val="005B0E50"/>
    <w:rsid w:val="005B1129"/>
    <w:rsid w:val="005B11B4"/>
    <w:rsid w:val="005B128D"/>
    <w:rsid w:val="005B1C4A"/>
    <w:rsid w:val="005B1CD5"/>
    <w:rsid w:val="005B1F00"/>
    <w:rsid w:val="005B1F8E"/>
    <w:rsid w:val="005B2071"/>
    <w:rsid w:val="005B2487"/>
    <w:rsid w:val="005B28CE"/>
    <w:rsid w:val="005B2BC8"/>
    <w:rsid w:val="005B2C0A"/>
    <w:rsid w:val="005B2D13"/>
    <w:rsid w:val="005B2D80"/>
    <w:rsid w:val="005B30F0"/>
    <w:rsid w:val="005B3109"/>
    <w:rsid w:val="005B318C"/>
    <w:rsid w:val="005B323D"/>
    <w:rsid w:val="005B32AE"/>
    <w:rsid w:val="005B342A"/>
    <w:rsid w:val="005B3877"/>
    <w:rsid w:val="005B3996"/>
    <w:rsid w:val="005B39B0"/>
    <w:rsid w:val="005B3F44"/>
    <w:rsid w:val="005B3FF4"/>
    <w:rsid w:val="005B4040"/>
    <w:rsid w:val="005B40A5"/>
    <w:rsid w:val="005B41A8"/>
    <w:rsid w:val="005B43BC"/>
    <w:rsid w:val="005B46A7"/>
    <w:rsid w:val="005B46AB"/>
    <w:rsid w:val="005B4867"/>
    <w:rsid w:val="005B49C4"/>
    <w:rsid w:val="005B49E7"/>
    <w:rsid w:val="005B4BDB"/>
    <w:rsid w:val="005B4C80"/>
    <w:rsid w:val="005B4D30"/>
    <w:rsid w:val="005B4DE6"/>
    <w:rsid w:val="005B5047"/>
    <w:rsid w:val="005B53EB"/>
    <w:rsid w:val="005B5939"/>
    <w:rsid w:val="005B5B71"/>
    <w:rsid w:val="005B5CF7"/>
    <w:rsid w:val="005B5DA4"/>
    <w:rsid w:val="005B5DEB"/>
    <w:rsid w:val="005B5E45"/>
    <w:rsid w:val="005B6245"/>
    <w:rsid w:val="005B65E9"/>
    <w:rsid w:val="005B6789"/>
    <w:rsid w:val="005B6A9A"/>
    <w:rsid w:val="005B6B12"/>
    <w:rsid w:val="005B6CBC"/>
    <w:rsid w:val="005B6FBC"/>
    <w:rsid w:val="005B7071"/>
    <w:rsid w:val="005B710E"/>
    <w:rsid w:val="005B71A7"/>
    <w:rsid w:val="005B7521"/>
    <w:rsid w:val="005B7527"/>
    <w:rsid w:val="005B7A96"/>
    <w:rsid w:val="005B7C73"/>
    <w:rsid w:val="005C00FC"/>
    <w:rsid w:val="005C023B"/>
    <w:rsid w:val="005C051B"/>
    <w:rsid w:val="005C0534"/>
    <w:rsid w:val="005C0600"/>
    <w:rsid w:val="005C08BE"/>
    <w:rsid w:val="005C0E80"/>
    <w:rsid w:val="005C107F"/>
    <w:rsid w:val="005C1504"/>
    <w:rsid w:val="005C1AC3"/>
    <w:rsid w:val="005C1AFB"/>
    <w:rsid w:val="005C1E0D"/>
    <w:rsid w:val="005C1F75"/>
    <w:rsid w:val="005C20FD"/>
    <w:rsid w:val="005C25DA"/>
    <w:rsid w:val="005C2727"/>
    <w:rsid w:val="005C28D2"/>
    <w:rsid w:val="005C29D5"/>
    <w:rsid w:val="005C2A19"/>
    <w:rsid w:val="005C2B0E"/>
    <w:rsid w:val="005C325C"/>
    <w:rsid w:val="005C328F"/>
    <w:rsid w:val="005C3335"/>
    <w:rsid w:val="005C372B"/>
    <w:rsid w:val="005C3882"/>
    <w:rsid w:val="005C3A5B"/>
    <w:rsid w:val="005C3D2A"/>
    <w:rsid w:val="005C3DA2"/>
    <w:rsid w:val="005C3F08"/>
    <w:rsid w:val="005C3FAF"/>
    <w:rsid w:val="005C4023"/>
    <w:rsid w:val="005C4319"/>
    <w:rsid w:val="005C4354"/>
    <w:rsid w:val="005C4432"/>
    <w:rsid w:val="005C44B4"/>
    <w:rsid w:val="005C4507"/>
    <w:rsid w:val="005C45D3"/>
    <w:rsid w:val="005C460A"/>
    <w:rsid w:val="005C46A1"/>
    <w:rsid w:val="005C477F"/>
    <w:rsid w:val="005C490C"/>
    <w:rsid w:val="005C4A7F"/>
    <w:rsid w:val="005C4AC2"/>
    <w:rsid w:val="005C4BDA"/>
    <w:rsid w:val="005C4E93"/>
    <w:rsid w:val="005C4FDE"/>
    <w:rsid w:val="005C5155"/>
    <w:rsid w:val="005C51E8"/>
    <w:rsid w:val="005C5215"/>
    <w:rsid w:val="005C53B6"/>
    <w:rsid w:val="005C5768"/>
    <w:rsid w:val="005C58C0"/>
    <w:rsid w:val="005C5914"/>
    <w:rsid w:val="005C5A12"/>
    <w:rsid w:val="005C5AAD"/>
    <w:rsid w:val="005C5B24"/>
    <w:rsid w:val="005C5B61"/>
    <w:rsid w:val="005C5C83"/>
    <w:rsid w:val="005C5D5C"/>
    <w:rsid w:val="005C5F55"/>
    <w:rsid w:val="005C600B"/>
    <w:rsid w:val="005C6673"/>
    <w:rsid w:val="005C679B"/>
    <w:rsid w:val="005C69E4"/>
    <w:rsid w:val="005C69ED"/>
    <w:rsid w:val="005C6A42"/>
    <w:rsid w:val="005C6ABF"/>
    <w:rsid w:val="005C6B08"/>
    <w:rsid w:val="005C6C7E"/>
    <w:rsid w:val="005C7162"/>
    <w:rsid w:val="005C72D5"/>
    <w:rsid w:val="005C73AF"/>
    <w:rsid w:val="005C75B1"/>
    <w:rsid w:val="005C769D"/>
    <w:rsid w:val="005C799D"/>
    <w:rsid w:val="005C7AE2"/>
    <w:rsid w:val="005C7AEC"/>
    <w:rsid w:val="005C7B18"/>
    <w:rsid w:val="005C7B19"/>
    <w:rsid w:val="005C7DF9"/>
    <w:rsid w:val="005C7E6F"/>
    <w:rsid w:val="005D01B3"/>
    <w:rsid w:val="005D047D"/>
    <w:rsid w:val="005D08D4"/>
    <w:rsid w:val="005D0F31"/>
    <w:rsid w:val="005D158F"/>
    <w:rsid w:val="005D1902"/>
    <w:rsid w:val="005D19A4"/>
    <w:rsid w:val="005D19DA"/>
    <w:rsid w:val="005D1A3E"/>
    <w:rsid w:val="005D1B58"/>
    <w:rsid w:val="005D1DA7"/>
    <w:rsid w:val="005D1DB2"/>
    <w:rsid w:val="005D1DD6"/>
    <w:rsid w:val="005D1F52"/>
    <w:rsid w:val="005D2236"/>
    <w:rsid w:val="005D2504"/>
    <w:rsid w:val="005D2573"/>
    <w:rsid w:val="005D258F"/>
    <w:rsid w:val="005D272B"/>
    <w:rsid w:val="005D281D"/>
    <w:rsid w:val="005D2BB1"/>
    <w:rsid w:val="005D2F1B"/>
    <w:rsid w:val="005D30DA"/>
    <w:rsid w:val="005D3139"/>
    <w:rsid w:val="005D31F3"/>
    <w:rsid w:val="005D3676"/>
    <w:rsid w:val="005D373D"/>
    <w:rsid w:val="005D3773"/>
    <w:rsid w:val="005D3993"/>
    <w:rsid w:val="005D3B4D"/>
    <w:rsid w:val="005D3CE3"/>
    <w:rsid w:val="005D3D5B"/>
    <w:rsid w:val="005D3D63"/>
    <w:rsid w:val="005D3F09"/>
    <w:rsid w:val="005D403F"/>
    <w:rsid w:val="005D407F"/>
    <w:rsid w:val="005D411B"/>
    <w:rsid w:val="005D4206"/>
    <w:rsid w:val="005D4613"/>
    <w:rsid w:val="005D4647"/>
    <w:rsid w:val="005D4686"/>
    <w:rsid w:val="005D468C"/>
    <w:rsid w:val="005D46EB"/>
    <w:rsid w:val="005D46ED"/>
    <w:rsid w:val="005D4A67"/>
    <w:rsid w:val="005D4B91"/>
    <w:rsid w:val="005D4C9D"/>
    <w:rsid w:val="005D4E55"/>
    <w:rsid w:val="005D4FC2"/>
    <w:rsid w:val="005D5127"/>
    <w:rsid w:val="005D527D"/>
    <w:rsid w:val="005D5468"/>
    <w:rsid w:val="005D5669"/>
    <w:rsid w:val="005D573D"/>
    <w:rsid w:val="005D5852"/>
    <w:rsid w:val="005D587B"/>
    <w:rsid w:val="005D59A2"/>
    <w:rsid w:val="005D5A25"/>
    <w:rsid w:val="005D5AE0"/>
    <w:rsid w:val="005D5B3B"/>
    <w:rsid w:val="005D5BF5"/>
    <w:rsid w:val="005D5D99"/>
    <w:rsid w:val="005D5FE3"/>
    <w:rsid w:val="005D5FF9"/>
    <w:rsid w:val="005D6008"/>
    <w:rsid w:val="005D627F"/>
    <w:rsid w:val="005D64F9"/>
    <w:rsid w:val="005D655A"/>
    <w:rsid w:val="005D67D9"/>
    <w:rsid w:val="005D69DB"/>
    <w:rsid w:val="005D6A25"/>
    <w:rsid w:val="005D6AA9"/>
    <w:rsid w:val="005D6C47"/>
    <w:rsid w:val="005D6E50"/>
    <w:rsid w:val="005D6E93"/>
    <w:rsid w:val="005D727A"/>
    <w:rsid w:val="005D7292"/>
    <w:rsid w:val="005D72EB"/>
    <w:rsid w:val="005D7646"/>
    <w:rsid w:val="005D78CF"/>
    <w:rsid w:val="005D792A"/>
    <w:rsid w:val="005D7B4F"/>
    <w:rsid w:val="005D7CED"/>
    <w:rsid w:val="005D7E50"/>
    <w:rsid w:val="005E0038"/>
    <w:rsid w:val="005E00E8"/>
    <w:rsid w:val="005E0112"/>
    <w:rsid w:val="005E02BC"/>
    <w:rsid w:val="005E02D7"/>
    <w:rsid w:val="005E030A"/>
    <w:rsid w:val="005E0367"/>
    <w:rsid w:val="005E0430"/>
    <w:rsid w:val="005E053B"/>
    <w:rsid w:val="005E0610"/>
    <w:rsid w:val="005E062F"/>
    <w:rsid w:val="005E0875"/>
    <w:rsid w:val="005E08F4"/>
    <w:rsid w:val="005E0983"/>
    <w:rsid w:val="005E0C79"/>
    <w:rsid w:val="005E138B"/>
    <w:rsid w:val="005E1494"/>
    <w:rsid w:val="005E1497"/>
    <w:rsid w:val="005E14B9"/>
    <w:rsid w:val="005E14CE"/>
    <w:rsid w:val="005E163F"/>
    <w:rsid w:val="005E1979"/>
    <w:rsid w:val="005E1B05"/>
    <w:rsid w:val="005E1B94"/>
    <w:rsid w:val="005E1D9E"/>
    <w:rsid w:val="005E1F76"/>
    <w:rsid w:val="005E20EE"/>
    <w:rsid w:val="005E21EA"/>
    <w:rsid w:val="005E228D"/>
    <w:rsid w:val="005E2422"/>
    <w:rsid w:val="005E24A0"/>
    <w:rsid w:val="005E250D"/>
    <w:rsid w:val="005E2883"/>
    <w:rsid w:val="005E28F3"/>
    <w:rsid w:val="005E294F"/>
    <w:rsid w:val="005E298E"/>
    <w:rsid w:val="005E2D20"/>
    <w:rsid w:val="005E2E7F"/>
    <w:rsid w:val="005E2F22"/>
    <w:rsid w:val="005E301A"/>
    <w:rsid w:val="005E32BD"/>
    <w:rsid w:val="005E3600"/>
    <w:rsid w:val="005E36BA"/>
    <w:rsid w:val="005E370F"/>
    <w:rsid w:val="005E3777"/>
    <w:rsid w:val="005E3834"/>
    <w:rsid w:val="005E390E"/>
    <w:rsid w:val="005E3920"/>
    <w:rsid w:val="005E3991"/>
    <w:rsid w:val="005E3B7A"/>
    <w:rsid w:val="005E3E32"/>
    <w:rsid w:val="005E3EEE"/>
    <w:rsid w:val="005E4356"/>
    <w:rsid w:val="005E470F"/>
    <w:rsid w:val="005E4A41"/>
    <w:rsid w:val="005E4B9C"/>
    <w:rsid w:val="005E4BE3"/>
    <w:rsid w:val="005E4C34"/>
    <w:rsid w:val="005E4C6D"/>
    <w:rsid w:val="005E501B"/>
    <w:rsid w:val="005E5135"/>
    <w:rsid w:val="005E5406"/>
    <w:rsid w:val="005E54F9"/>
    <w:rsid w:val="005E5544"/>
    <w:rsid w:val="005E56A6"/>
    <w:rsid w:val="005E5864"/>
    <w:rsid w:val="005E5FC5"/>
    <w:rsid w:val="005E604B"/>
    <w:rsid w:val="005E604E"/>
    <w:rsid w:val="005E60BE"/>
    <w:rsid w:val="005E630C"/>
    <w:rsid w:val="005E6414"/>
    <w:rsid w:val="005E64E6"/>
    <w:rsid w:val="005E659B"/>
    <w:rsid w:val="005E685C"/>
    <w:rsid w:val="005E6AB0"/>
    <w:rsid w:val="005E6DF1"/>
    <w:rsid w:val="005E6E22"/>
    <w:rsid w:val="005E6E30"/>
    <w:rsid w:val="005E70AD"/>
    <w:rsid w:val="005E7121"/>
    <w:rsid w:val="005E716D"/>
    <w:rsid w:val="005E72ED"/>
    <w:rsid w:val="005E7BF2"/>
    <w:rsid w:val="005E7DFC"/>
    <w:rsid w:val="005E7E7C"/>
    <w:rsid w:val="005F0545"/>
    <w:rsid w:val="005F05DB"/>
    <w:rsid w:val="005F077E"/>
    <w:rsid w:val="005F07B2"/>
    <w:rsid w:val="005F09AF"/>
    <w:rsid w:val="005F0B83"/>
    <w:rsid w:val="005F0C29"/>
    <w:rsid w:val="005F0EFF"/>
    <w:rsid w:val="005F0F25"/>
    <w:rsid w:val="005F11CB"/>
    <w:rsid w:val="005F1509"/>
    <w:rsid w:val="005F1784"/>
    <w:rsid w:val="005F1812"/>
    <w:rsid w:val="005F195B"/>
    <w:rsid w:val="005F198E"/>
    <w:rsid w:val="005F1B5C"/>
    <w:rsid w:val="005F1EE9"/>
    <w:rsid w:val="005F1F9E"/>
    <w:rsid w:val="005F2099"/>
    <w:rsid w:val="005F2146"/>
    <w:rsid w:val="005F21AF"/>
    <w:rsid w:val="005F2333"/>
    <w:rsid w:val="005F2371"/>
    <w:rsid w:val="005F2683"/>
    <w:rsid w:val="005F2C84"/>
    <w:rsid w:val="005F2E93"/>
    <w:rsid w:val="005F2F3C"/>
    <w:rsid w:val="005F3085"/>
    <w:rsid w:val="005F31B4"/>
    <w:rsid w:val="005F3286"/>
    <w:rsid w:val="005F32EE"/>
    <w:rsid w:val="005F3434"/>
    <w:rsid w:val="005F34A0"/>
    <w:rsid w:val="005F368D"/>
    <w:rsid w:val="005F3869"/>
    <w:rsid w:val="005F398E"/>
    <w:rsid w:val="005F3AA2"/>
    <w:rsid w:val="005F3ACA"/>
    <w:rsid w:val="005F3B17"/>
    <w:rsid w:val="005F3E9B"/>
    <w:rsid w:val="005F3EB9"/>
    <w:rsid w:val="005F40F4"/>
    <w:rsid w:val="005F422B"/>
    <w:rsid w:val="005F42C4"/>
    <w:rsid w:val="005F4386"/>
    <w:rsid w:val="005F4763"/>
    <w:rsid w:val="005F483B"/>
    <w:rsid w:val="005F48AE"/>
    <w:rsid w:val="005F49DF"/>
    <w:rsid w:val="005F4B21"/>
    <w:rsid w:val="005F4BF3"/>
    <w:rsid w:val="005F4D07"/>
    <w:rsid w:val="005F5047"/>
    <w:rsid w:val="005F505F"/>
    <w:rsid w:val="005F5610"/>
    <w:rsid w:val="005F5C1B"/>
    <w:rsid w:val="005F5EFE"/>
    <w:rsid w:val="005F5FB1"/>
    <w:rsid w:val="005F621E"/>
    <w:rsid w:val="005F64B6"/>
    <w:rsid w:val="005F6565"/>
    <w:rsid w:val="005F6631"/>
    <w:rsid w:val="005F68BF"/>
    <w:rsid w:val="005F68C3"/>
    <w:rsid w:val="005F68F8"/>
    <w:rsid w:val="005F6AD7"/>
    <w:rsid w:val="005F6B46"/>
    <w:rsid w:val="005F6D21"/>
    <w:rsid w:val="005F6DD3"/>
    <w:rsid w:val="005F6F3E"/>
    <w:rsid w:val="005F7448"/>
    <w:rsid w:val="005F75DD"/>
    <w:rsid w:val="005F7944"/>
    <w:rsid w:val="005F7990"/>
    <w:rsid w:val="005F79CD"/>
    <w:rsid w:val="005F7BFB"/>
    <w:rsid w:val="005F7CA4"/>
    <w:rsid w:val="005F7EFE"/>
    <w:rsid w:val="006004A6"/>
    <w:rsid w:val="006004DF"/>
    <w:rsid w:val="00600580"/>
    <w:rsid w:val="006007AB"/>
    <w:rsid w:val="006008B3"/>
    <w:rsid w:val="0060094A"/>
    <w:rsid w:val="00600C0E"/>
    <w:rsid w:val="00600E73"/>
    <w:rsid w:val="00600FC7"/>
    <w:rsid w:val="00601212"/>
    <w:rsid w:val="006012D1"/>
    <w:rsid w:val="00601301"/>
    <w:rsid w:val="00601412"/>
    <w:rsid w:val="006014C6"/>
    <w:rsid w:val="006019C2"/>
    <w:rsid w:val="00601A98"/>
    <w:rsid w:val="00601CD9"/>
    <w:rsid w:val="00601D4D"/>
    <w:rsid w:val="00601F20"/>
    <w:rsid w:val="00602102"/>
    <w:rsid w:val="0060213B"/>
    <w:rsid w:val="006022E3"/>
    <w:rsid w:val="006023BF"/>
    <w:rsid w:val="006024FC"/>
    <w:rsid w:val="00602528"/>
    <w:rsid w:val="00602848"/>
    <w:rsid w:val="00602890"/>
    <w:rsid w:val="00602ADF"/>
    <w:rsid w:val="00602B69"/>
    <w:rsid w:val="00602BA5"/>
    <w:rsid w:val="00602D83"/>
    <w:rsid w:val="00602FA3"/>
    <w:rsid w:val="00603261"/>
    <w:rsid w:val="006032BC"/>
    <w:rsid w:val="0060370B"/>
    <w:rsid w:val="00603A96"/>
    <w:rsid w:val="00603E02"/>
    <w:rsid w:val="00603E79"/>
    <w:rsid w:val="00603EB3"/>
    <w:rsid w:val="00603F6B"/>
    <w:rsid w:val="00604045"/>
    <w:rsid w:val="00604066"/>
    <w:rsid w:val="00604212"/>
    <w:rsid w:val="00604227"/>
    <w:rsid w:val="0060428D"/>
    <w:rsid w:val="006046F4"/>
    <w:rsid w:val="0060477B"/>
    <w:rsid w:val="0060499C"/>
    <w:rsid w:val="00604B2B"/>
    <w:rsid w:val="00604CA3"/>
    <w:rsid w:val="00604D49"/>
    <w:rsid w:val="00604DFF"/>
    <w:rsid w:val="00604E7D"/>
    <w:rsid w:val="00604F82"/>
    <w:rsid w:val="00604FAF"/>
    <w:rsid w:val="0060508D"/>
    <w:rsid w:val="006053AA"/>
    <w:rsid w:val="00605576"/>
    <w:rsid w:val="00605696"/>
    <w:rsid w:val="006056A8"/>
    <w:rsid w:val="006056FB"/>
    <w:rsid w:val="00605D2D"/>
    <w:rsid w:val="00605D9A"/>
    <w:rsid w:val="00605DE0"/>
    <w:rsid w:val="00605DE1"/>
    <w:rsid w:val="00605F86"/>
    <w:rsid w:val="00606061"/>
    <w:rsid w:val="006060D9"/>
    <w:rsid w:val="00606177"/>
    <w:rsid w:val="00606247"/>
    <w:rsid w:val="00606491"/>
    <w:rsid w:val="006065CB"/>
    <w:rsid w:val="00606748"/>
    <w:rsid w:val="00606896"/>
    <w:rsid w:val="006069D1"/>
    <w:rsid w:val="00606D91"/>
    <w:rsid w:val="00606DB5"/>
    <w:rsid w:val="0060759E"/>
    <w:rsid w:val="00607629"/>
    <w:rsid w:val="00607822"/>
    <w:rsid w:val="00607A87"/>
    <w:rsid w:val="00607B36"/>
    <w:rsid w:val="006106ED"/>
    <w:rsid w:val="0061083D"/>
    <w:rsid w:val="006109CF"/>
    <w:rsid w:val="00610BDA"/>
    <w:rsid w:val="00610C0A"/>
    <w:rsid w:val="00610D26"/>
    <w:rsid w:val="00610D4B"/>
    <w:rsid w:val="00610E2B"/>
    <w:rsid w:val="00610E3A"/>
    <w:rsid w:val="00610E3B"/>
    <w:rsid w:val="00610E57"/>
    <w:rsid w:val="00610F33"/>
    <w:rsid w:val="00611138"/>
    <w:rsid w:val="006112A9"/>
    <w:rsid w:val="006114E7"/>
    <w:rsid w:val="00611718"/>
    <w:rsid w:val="006117B3"/>
    <w:rsid w:val="0061197B"/>
    <w:rsid w:val="00611A86"/>
    <w:rsid w:val="00611F4F"/>
    <w:rsid w:val="00611F50"/>
    <w:rsid w:val="00611F6B"/>
    <w:rsid w:val="00611FDA"/>
    <w:rsid w:val="0061256D"/>
    <w:rsid w:val="006126AB"/>
    <w:rsid w:val="00612729"/>
    <w:rsid w:val="0061272D"/>
    <w:rsid w:val="00612A70"/>
    <w:rsid w:val="00613041"/>
    <w:rsid w:val="006130C4"/>
    <w:rsid w:val="00613790"/>
    <w:rsid w:val="00613BB5"/>
    <w:rsid w:val="00613BCA"/>
    <w:rsid w:val="00613FDF"/>
    <w:rsid w:val="0061418B"/>
    <w:rsid w:val="006143BE"/>
    <w:rsid w:val="00614405"/>
    <w:rsid w:val="006147A7"/>
    <w:rsid w:val="00614843"/>
    <w:rsid w:val="00614B38"/>
    <w:rsid w:val="00614BC0"/>
    <w:rsid w:val="00614C81"/>
    <w:rsid w:val="00614EDC"/>
    <w:rsid w:val="00614EEA"/>
    <w:rsid w:val="0061517A"/>
    <w:rsid w:val="006151A2"/>
    <w:rsid w:val="00615442"/>
    <w:rsid w:val="006155B5"/>
    <w:rsid w:val="006157B2"/>
    <w:rsid w:val="006159A3"/>
    <w:rsid w:val="00615EAB"/>
    <w:rsid w:val="00615EF9"/>
    <w:rsid w:val="00616025"/>
    <w:rsid w:val="00616034"/>
    <w:rsid w:val="006161AD"/>
    <w:rsid w:val="006162C7"/>
    <w:rsid w:val="00616539"/>
    <w:rsid w:val="00616588"/>
    <w:rsid w:val="00616592"/>
    <w:rsid w:val="0061674E"/>
    <w:rsid w:val="00616B00"/>
    <w:rsid w:val="00616B73"/>
    <w:rsid w:val="00616BBC"/>
    <w:rsid w:val="00616DAD"/>
    <w:rsid w:val="00616DB6"/>
    <w:rsid w:val="00616E2E"/>
    <w:rsid w:val="006171BB"/>
    <w:rsid w:val="006171F9"/>
    <w:rsid w:val="0061724A"/>
    <w:rsid w:val="0061795A"/>
    <w:rsid w:val="00617CA0"/>
    <w:rsid w:val="00617F3D"/>
    <w:rsid w:val="00617FEF"/>
    <w:rsid w:val="006206E9"/>
    <w:rsid w:val="00620789"/>
    <w:rsid w:val="0062079B"/>
    <w:rsid w:val="006207BA"/>
    <w:rsid w:val="006208C5"/>
    <w:rsid w:val="00620C31"/>
    <w:rsid w:val="00621241"/>
    <w:rsid w:val="006213B1"/>
    <w:rsid w:val="0062143C"/>
    <w:rsid w:val="00621521"/>
    <w:rsid w:val="0062159A"/>
    <w:rsid w:val="00621767"/>
    <w:rsid w:val="006217F2"/>
    <w:rsid w:val="00621BB5"/>
    <w:rsid w:val="00621DC3"/>
    <w:rsid w:val="00621F2A"/>
    <w:rsid w:val="006220B4"/>
    <w:rsid w:val="006226AD"/>
    <w:rsid w:val="006227DA"/>
    <w:rsid w:val="0062284F"/>
    <w:rsid w:val="00622956"/>
    <w:rsid w:val="0062297E"/>
    <w:rsid w:val="006229E4"/>
    <w:rsid w:val="00622ABA"/>
    <w:rsid w:val="00622B83"/>
    <w:rsid w:val="00622C86"/>
    <w:rsid w:val="00622FD2"/>
    <w:rsid w:val="00622FF5"/>
    <w:rsid w:val="006230A0"/>
    <w:rsid w:val="0062326F"/>
    <w:rsid w:val="00623426"/>
    <w:rsid w:val="0062363C"/>
    <w:rsid w:val="006238CA"/>
    <w:rsid w:val="00623925"/>
    <w:rsid w:val="00623A56"/>
    <w:rsid w:val="00623AC7"/>
    <w:rsid w:val="00623E80"/>
    <w:rsid w:val="00624140"/>
    <w:rsid w:val="00624160"/>
    <w:rsid w:val="00624555"/>
    <w:rsid w:val="006248DB"/>
    <w:rsid w:val="0062490F"/>
    <w:rsid w:val="00624C45"/>
    <w:rsid w:val="00624D55"/>
    <w:rsid w:val="00624E24"/>
    <w:rsid w:val="00624FDB"/>
    <w:rsid w:val="00624FDE"/>
    <w:rsid w:val="0062522D"/>
    <w:rsid w:val="00625423"/>
    <w:rsid w:val="00625543"/>
    <w:rsid w:val="006257EB"/>
    <w:rsid w:val="006258EE"/>
    <w:rsid w:val="00625999"/>
    <w:rsid w:val="00625C85"/>
    <w:rsid w:val="00625F30"/>
    <w:rsid w:val="00625F52"/>
    <w:rsid w:val="006262B2"/>
    <w:rsid w:val="00626487"/>
    <w:rsid w:val="00626592"/>
    <w:rsid w:val="0062671F"/>
    <w:rsid w:val="006267E7"/>
    <w:rsid w:val="0062688C"/>
    <w:rsid w:val="00626C7E"/>
    <w:rsid w:val="00626C85"/>
    <w:rsid w:val="00626D36"/>
    <w:rsid w:val="00626F21"/>
    <w:rsid w:val="00626FA5"/>
    <w:rsid w:val="00627728"/>
    <w:rsid w:val="0062781F"/>
    <w:rsid w:val="00627984"/>
    <w:rsid w:val="006279D4"/>
    <w:rsid w:val="00627A5B"/>
    <w:rsid w:val="00627E2E"/>
    <w:rsid w:val="00627ED0"/>
    <w:rsid w:val="00630244"/>
    <w:rsid w:val="006305B3"/>
    <w:rsid w:val="00630604"/>
    <w:rsid w:val="00630771"/>
    <w:rsid w:val="00630957"/>
    <w:rsid w:val="00630994"/>
    <w:rsid w:val="00630AB8"/>
    <w:rsid w:val="0063109C"/>
    <w:rsid w:val="006312DE"/>
    <w:rsid w:val="00631322"/>
    <w:rsid w:val="006313E0"/>
    <w:rsid w:val="006313F0"/>
    <w:rsid w:val="0063155A"/>
    <w:rsid w:val="0063159A"/>
    <w:rsid w:val="00631943"/>
    <w:rsid w:val="00631997"/>
    <w:rsid w:val="006319A9"/>
    <w:rsid w:val="00631BF9"/>
    <w:rsid w:val="00631C0B"/>
    <w:rsid w:val="00631C90"/>
    <w:rsid w:val="00631C9E"/>
    <w:rsid w:val="00631D3C"/>
    <w:rsid w:val="00631E42"/>
    <w:rsid w:val="00631F6F"/>
    <w:rsid w:val="00632162"/>
    <w:rsid w:val="00632217"/>
    <w:rsid w:val="0063226D"/>
    <w:rsid w:val="006322FC"/>
    <w:rsid w:val="00632426"/>
    <w:rsid w:val="006324F8"/>
    <w:rsid w:val="006328AB"/>
    <w:rsid w:val="00632B8F"/>
    <w:rsid w:val="00632C26"/>
    <w:rsid w:val="00632CB9"/>
    <w:rsid w:val="0063316B"/>
    <w:rsid w:val="00633249"/>
    <w:rsid w:val="006337C4"/>
    <w:rsid w:val="006337EE"/>
    <w:rsid w:val="006338BE"/>
    <w:rsid w:val="006339DF"/>
    <w:rsid w:val="00633CA1"/>
    <w:rsid w:val="00633D4C"/>
    <w:rsid w:val="0063414A"/>
    <w:rsid w:val="006341E9"/>
    <w:rsid w:val="006347A3"/>
    <w:rsid w:val="00634B24"/>
    <w:rsid w:val="00634B47"/>
    <w:rsid w:val="00634DA3"/>
    <w:rsid w:val="00634DC0"/>
    <w:rsid w:val="00634DE0"/>
    <w:rsid w:val="00634E1C"/>
    <w:rsid w:val="00634E84"/>
    <w:rsid w:val="00635332"/>
    <w:rsid w:val="00635410"/>
    <w:rsid w:val="00635692"/>
    <w:rsid w:val="0063584D"/>
    <w:rsid w:val="00635862"/>
    <w:rsid w:val="00635917"/>
    <w:rsid w:val="0063597E"/>
    <w:rsid w:val="00635B05"/>
    <w:rsid w:val="00635DEC"/>
    <w:rsid w:val="00635F5A"/>
    <w:rsid w:val="00635FC4"/>
    <w:rsid w:val="0063613A"/>
    <w:rsid w:val="006363A8"/>
    <w:rsid w:val="00636517"/>
    <w:rsid w:val="006365C5"/>
    <w:rsid w:val="00636E52"/>
    <w:rsid w:val="00636E5F"/>
    <w:rsid w:val="006376B2"/>
    <w:rsid w:val="00637A47"/>
    <w:rsid w:val="00637AB4"/>
    <w:rsid w:val="00637E52"/>
    <w:rsid w:val="00640031"/>
    <w:rsid w:val="00640489"/>
    <w:rsid w:val="006405CB"/>
    <w:rsid w:val="0064092D"/>
    <w:rsid w:val="006409CC"/>
    <w:rsid w:val="00640A46"/>
    <w:rsid w:val="00640DAE"/>
    <w:rsid w:val="0064116A"/>
    <w:rsid w:val="00641188"/>
    <w:rsid w:val="00641416"/>
    <w:rsid w:val="00641954"/>
    <w:rsid w:val="0064196D"/>
    <w:rsid w:val="006419A9"/>
    <w:rsid w:val="006419B2"/>
    <w:rsid w:val="00641A10"/>
    <w:rsid w:val="00641AC7"/>
    <w:rsid w:val="00641B2C"/>
    <w:rsid w:val="00641CF3"/>
    <w:rsid w:val="00641E3E"/>
    <w:rsid w:val="00642040"/>
    <w:rsid w:val="00642124"/>
    <w:rsid w:val="006421C6"/>
    <w:rsid w:val="006421DF"/>
    <w:rsid w:val="00642240"/>
    <w:rsid w:val="006424D5"/>
    <w:rsid w:val="0064293D"/>
    <w:rsid w:val="006429E8"/>
    <w:rsid w:val="00642A72"/>
    <w:rsid w:val="006433A7"/>
    <w:rsid w:val="006437D8"/>
    <w:rsid w:val="00643A7E"/>
    <w:rsid w:val="00643C75"/>
    <w:rsid w:val="00643CE5"/>
    <w:rsid w:val="00643D0D"/>
    <w:rsid w:val="00643D57"/>
    <w:rsid w:val="006441F6"/>
    <w:rsid w:val="00644264"/>
    <w:rsid w:val="006443CC"/>
    <w:rsid w:val="006448E0"/>
    <w:rsid w:val="00644A3B"/>
    <w:rsid w:val="00644A63"/>
    <w:rsid w:val="00644ACD"/>
    <w:rsid w:val="00644B15"/>
    <w:rsid w:val="00644C5D"/>
    <w:rsid w:val="00644F1A"/>
    <w:rsid w:val="0064564D"/>
    <w:rsid w:val="00645A5C"/>
    <w:rsid w:val="00645CF4"/>
    <w:rsid w:val="006460AC"/>
    <w:rsid w:val="00646512"/>
    <w:rsid w:val="00646531"/>
    <w:rsid w:val="006465CE"/>
    <w:rsid w:val="006466AE"/>
    <w:rsid w:val="006467E5"/>
    <w:rsid w:val="00646AA3"/>
    <w:rsid w:val="00646AA6"/>
    <w:rsid w:val="00646B1F"/>
    <w:rsid w:val="00646B3D"/>
    <w:rsid w:val="00646BE2"/>
    <w:rsid w:val="00646E9D"/>
    <w:rsid w:val="00647A32"/>
    <w:rsid w:val="00647D54"/>
    <w:rsid w:val="00647FC3"/>
    <w:rsid w:val="00650426"/>
    <w:rsid w:val="006505C2"/>
    <w:rsid w:val="00650856"/>
    <w:rsid w:val="0065095D"/>
    <w:rsid w:val="006509E1"/>
    <w:rsid w:val="00650A4A"/>
    <w:rsid w:val="00650B55"/>
    <w:rsid w:val="00650B68"/>
    <w:rsid w:val="00650E6A"/>
    <w:rsid w:val="006513C0"/>
    <w:rsid w:val="00651464"/>
    <w:rsid w:val="00651714"/>
    <w:rsid w:val="00651AB3"/>
    <w:rsid w:val="00651B71"/>
    <w:rsid w:val="00651B9D"/>
    <w:rsid w:val="00651CFA"/>
    <w:rsid w:val="00651DF2"/>
    <w:rsid w:val="006520BE"/>
    <w:rsid w:val="006524CE"/>
    <w:rsid w:val="0065251A"/>
    <w:rsid w:val="0065259A"/>
    <w:rsid w:val="006526ED"/>
    <w:rsid w:val="00652703"/>
    <w:rsid w:val="00652B62"/>
    <w:rsid w:val="006530F7"/>
    <w:rsid w:val="006532A4"/>
    <w:rsid w:val="006536B3"/>
    <w:rsid w:val="00653809"/>
    <w:rsid w:val="0065392A"/>
    <w:rsid w:val="006539DE"/>
    <w:rsid w:val="00653B9E"/>
    <w:rsid w:val="00653BCB"/>
    <w:rsid w:val="00653C57"/>
    <w:rsid w:val="00653E04"/>
    <w:rsid w:val="0065419E"/>
    <w:rsid w:val="0065463E"/>
    <w:rsid w:val="0065474D"/>
    <w:rsid w:val="0065480C"/>
    <w:rsid w:val="0065499C"/>
    <w:rsid w:val="006549DB"/>
    <w:rsid w:val="00654A3C"/>
    <w:rsid w:val="00654AF8"/>
    <w:rsid w:val="00654F56"/>
    <w:rsid w:val="006551CF"/>
    <w:rsid w:val="006554E6"/>
    <w:rsid w:val="00655600"/>
    <w:rsid w:val="00655758"/>
    <w:rsid w:val="006558A5"/>
    <w:rsid w:val="00655919"/>
    <w:rsid w:val="00655EF9"/>
    <w:rsid w:val="00656105"/>
    <w:rsid w:val="00656142"/>
    <w:rsid w:val="006561B7"/>
    <w:rsid w:val="006566CC"/>
    <w:rsid w:val="00656791"/>
    <w:rsid w:val="006567AC"/>
    <w:rsid w:val="00656840"/>
    <w:rsid w:val="00656A1F"/>
    <w:rsid w:val="00656C65"/>
    <w:rsid w:val="00656E50"/>
    <w:rsid w:val="00656E98"/>
    <w:rsid w:val="00656FA8"/>
    <w:rsid w:val="00656FB6"/>
    <w:rsid w:val="006571FF"/>
    <w:rsid w:val="006572E4"/>
    <w:rsid w:val="006573DE"/>
    <w:rsid w:val="0065757D"/>
    <w:rsid w:val="006576CB"/>
    <w:rsid w:val="00657706"/>
    <w:rsid w:val="00657A53"/>
    <w:rsid w:val="00657A62"/>
    <w:rsid w:val="00657AC9"/>
    <w:rsid w:val="00657BC1"/>
    <w:rsid w:val="00657FAD"/>
    <w:rsid w:val="006602F4"/>
    <w:rsid w:val="00660854"/>
    <w:rsid w:val="00660CA0"/>
    <w:rsid w:val="00660DE4"/>
    <w:rsid w:val="00660F03"/>
    <w:rsid w:val="0066101C"/>
    <w:rsid w:val="006611A9"/>
    <w:rsid w:val="006613E1"/>
    <w:rsid w:val="00661761"/>
    <w:rsid w:val="0066176D"/>
    <w:rsid w:val="00661885"/>
    <w:rsid w:val="00661A82"/>
    <w:rsid w:val="00661CD3"/>
    <w:rsid w:val="00661DD9"/>
    <w:rsid w:val="006622B5"/>
    <w:rsid w:val="006622F5"/>
    <w:rsid w:val="00662462"/>
    <w:rsid w:val="006624A4"/>
    <w:rsid w:val="00662735"/>
    <w:rsid w:val="006628ED"/>
    <w:rsid w:val="00662A06"/>
    <w:rsid w:val="00662AD1"/>
    <w:rsid w:val="00662B68"/>
    <w:rsid w:val="00662B9B"/>
    <w:rsid w:val="00662BD3"/>
    <w:rsid w:val="006630ED"/>
    <w:rsid w:val="0066312B"/>
    <w:rsid w:val="006636AC"/>
    <w:rsid w:val="006636B5"/>
    <w:rsid w:val="0066393E"/>
    <w:rsid w:val="00663A0F"/>
    <w:rsid w:val="00663C1B"/>
    <w:rsid w:val="006640DE"/>
    <w:rsid w:val="00664245"/>
    <w:rsid w:val="00664513"/>
    <w:rsid w:val="006645E9"/>
    <w:rsid w:val="006649BD"/>
    <w:rsid w:val="00664D72"/>
    <w:rsid w:val="00664EB6"/>
    <w:rsid w:val="0066545D"/>
    <w:rsid w:val="00665462"/>
    <w:rsid w:val="00665537"/>
    <w:rsid w:val="006655B7"/>
    <w:rsid w:val="00665731"/>
    <w:rsid w:val="00665780"/>
    <w:rsid w:val="006658DD"/>
    <w:rsid w:val="00665B10"/>
    <w:rsid w:val="00665CD4"/>
    <w:rsid w:val="00665D9D"/>
    <w:rsid w:val="00665DD9"/>
    <w:rsid w:val="00666375"/>
    <w:rsid w:val="0066642D"/>
    <w:rsid w:val="006665D1"/>
    <w:rsid w:val="006665E9"/>
    <w:rsid w:val="006667E3"/>
    <w:rsid w:val="006669F6"/>
    <w:rsid w:val="00666B40"/>
    <w:rsid w:val="00666C21"/>
    <w:rsid w:val="0066735D"/>
    <w:rsid w:val="00667550"/>
    <w:rsid w:val="00667627"/>
    <w:rsid w:val="0066792F"/>
    <w:rsid w:val="00667982"/>
    <w:rsid w:val="0066799F"/>
    <w:rsid w:val="00667AFA"/>
    <w:rsid w:val="00667BC0"/>
    <w:rsid w:val="00667C4F"/>
    <w:rsid w:val="00667EDA"/>
    <w:rsid w:val="00667F48"/>
    <w:rsid w:val="00667F51"/>
    <w:rsid w:val="006700E4"/>
    <w:rsid w:val="0067014B"/>
    <w:rsid w:val="006702C0"/>
    <w:rsid w:val="00670391"/>
    <w:rsid w:val="00670424"/>
    <w:rsid w:val="00670744"/>
    <w:rsid w:val="006708A4"/>
    <w:rsid w:val="00670BA0"/>
    <w:rsid w:val="00670BF5"/>
    <w:rsid w:val="006712A7"/>
    <w:rsid w:val="00671404"/>
    <w:rsid w:val="0067140A"/>
    <w:rsid w:val="006719C4"/>
    <w:rsid w:val="00671A62"/>
    <w:rsid w:val="00671A7D"/>
    <w:rsid w:val="00671CE4"/>
    <w:rsid w:val="00671F3B"/>
    <w:rsid w:val="00671FDC"/>
    <w:rsid w:val="0067271E"/>
    <w:rsid w:val="0067281E"/>
    <w:rsid w:val="00672844"/>
    <w:rsid w:val="006728FC"/>
    <w:rsid w:val="0067291C"/>
    <w:rsid w:val="00672A24"/>
    <w:rsid w:val="00672A66"/>
    <w:rsid w:val="00672C39"/>
    <w:rsid w:val="00672CC5"/>
    <w:rsid w:val="00672D0E"/>
    <w:rsid w:val="006731B7"/>
    <w:rsid w:val="00673626"/>
    <w:rsid w:val="00673837"/>
    <w:rsid w:val="00673964"/>
    <w:rsid w:val="00673D4B"/>
    <w:rsid w:val="00673D61"/>
    <w:rsid w:val="00673EC1"/>
    <w:rsid w:val="0067499B"/>
    <w:rsid w:val="00674A37"/>
    <w:rsid w:val="00674A92"/>
    <w:rsid w:val="00674EE1"/>
    <w:rsid w:val="006753CE"/>
    <w:rsid w:val="00675431"/>
    <w:rsid w:val="0067549E"/>
    <w:rsid w:val="0067586E"/>
    <w:rsid w:val="00675889"/>
    <w:rsid w:val="006758E2"/>
    <w:rsid w:val="00675BA0"/>
    <w:rsid w:val="00675C48"/>
    <w:rsid w:val="00675DC2"/>
    <w:rsid w:val="00675F56"/>
    <w:rsid w:val="00675FE1"/>
    <w:rsid w:val="006760B7"/>
    <w:rsid w:val="006762EE"/>
    <w:rsid w:val="006762F7"/>
    <w:rsid w:val="00676306"/>
    <w:rsid w:val="006764EA"/>
    <w:rsid w:val="006766D5"/>
    <w:rsid w:val="00676963"/>
    <w:rsid w:val="00676A22"/>
    <w:rsid w:val="00676F70"/>
    <w:rsid w:val="0067705B"/>
    <w:rsid w:val="0067705F"/>
    <w:rsid w:val="0067709F"/>
    <w:rsid w:val="00677218"/>
    <w:rsid w:val="00677433"/>
    <w:rsid w:val="006774CD"/>
    <w:rsid w:val="006774D8"/>
    <w:rsid w:val="00677548"/>
    <w:rsid w:val="00677812"/>
    <w:rsid w:val="006778C7"/>
    <w:rsid w:val="00677A50"/>
    <w:rsid w:val="00677A7A"/>
    <w:rsid w:val="00677AFE"/>
    <w:rsid w:val="00677B15"/>
    <w:rsid w:val="00677B6D"/>
    <w:rsid w:val="00677BAA"/>
    <w:rsid w:val="00677CD6"/>
    <w:rsid w:val="00677E4B"/>
    <w:rsid w:val="00677F68"/>
    <w:rsid w:val="006806AF"/>
    <w:rsid w:val="006807A0"/>
    <w:rsid w:val="0068082A"/>
    <w:rsid w:val="00680835"/>
    <w:rsid w:val="0068092A"/>
    <w:rsid w:val="00680A4F"/>
    <w:rsid w:val="00680A5A"/>
    <w:rsid w:val="00680A65"/>
    <w:rsid w:val="00680B72"/>
    <w:rsid w:val="00680EA2"/>
    <w:rsid w:val="00680EBC"/>
    <w:rsid w:val="00681104"/>
    <w:rsid w:val="00681192"/>
    <w:rsid w:val="006811BF"/>
    <w:rsid w:val="00681728"/>
    <w:rsid w:val="00681808"/>
    <w:rsid w:val="006818C7"/>
    <w:rsid w:val="00681904"/>
    <w:rsid w:val="0068194E"/>
    <w:rsid w:val="00681A2A"/>
    <w:rsid w:val="00681B38"/>
    <w:rsid w:val="00681C1A"/>
    <w:rsid w:val="00682045"/>
    <w:rsid w:val="006820AE"/>
    <w:rsid w:val="00682221"/>
    <w:rsid w:val="00682346"/>
    <w:rsid w:val="0068246A"/>
    <w:rsid w:val="006824BD"/>
    <w:rsid w:val="006826C8"/>
    <w:rsid w:val="00682923"/>
    <w:rsid w:val="00682DA9"/>
    <w:rsid w:val="00682F2A"/>
    <w:rsid w:val="006831B4"/>
    <w:rsid w:val="0068335E"/>
    <w:rsid w:val="00683391"/>
    <w:rsid w:val="00683444"/>
    <w:rsid w:val="006834F9"/>
    <w:rsid w:val="00683B17"/>
    <w:rsid w:val="00683BE0"/>
    <w:rsid w:val="00683D8D"/>
    <w:rsid w:val="00684203"/>
    <w:rsid w:val="006844A3"/>
    <w:rsid w:val="0068454A"/>
    <w:rsid w:val="00684567"/>
    <w:rsid w:val="006845DF"/>
    <w:rsid w:val="0068476C"/>
    <w:rsid w:val="00684954"/>
    <w:rsid w:val="00684A73"/>
    <w:rsid w:val="00684A76"/>
    <w:rsid w:val="00684D4F"/>
    <w:rsid w:val="00684DB0"/>
    <w:rsid w:val="00684E57"/>
    <w:rsid w:val="00684EA3"/>
    <w:rsid w:val="00684EB0"/>
    <w:rsid w:val="00684F80"/>
    <w:rsid w:val="006853D1"/>
    <w:rsid w:val="006853E0"/>
    <w:rsid w:val="006857A6"/>
    <w:rsid w:val="0068584D"/>
    <w:rsid w:val="00685E9A"/>
    <w:rsid w:val="00686676"/>
    <w:rsid w:val="006867D3"/>
    <w:rsid w:val="006868EB"/>
    <w:rsid w:val="006869B3"/>
    <w:rsid w:val="00686A8B"/>
    <w:rsid w:val="00686CD1"/>
    <w:rsid w:val="00686E73"/>
    <w:rsid w:val="00686EAC"/>
    <w:rsid w:val="00687058"/>
    <w:rsid w:val="0068710A"/>
    <w:rsid w:val="00687153"/>
    <w:rsid w:val="0068726B"/>
    <w:rsid w:val="00687437"/>
    <w:rsid w:val="006875D3"/>
    <w:rsid w:val="0068761F"/>
    <w:rsid w:val="00687713"/>
    <w:rsid w:val="00687A7B"/>
    <w:rsid w:val="00687B1E"/>
    <w:rsid w:val="00687D64"/>
    <w:rsid w:val="00687DEA"/>
    <w:rsid w:val="00687F1D"/>
    <w:rsid w:val="00687FEC"/>
    <w:rsid w:val="0068AC29"/>
    <w:rsid w:val="006900E2"/>
    <w:rsid w:val="00690142"/>
    <w:rsid w:val="0069016B"/>
    <w:rsid w:val="0069020F"/>
    <w:rsid w:val="00690684"/>
    <w:rsid w:val="006908B0"/>
    <w:rsid w:val="0069095D"/>
    <w:rsid w:val="00690D5C"/>
    <w:rsid w:val="00690D82"/>
    <w:rsid w:val="00691233"/>
    <w:rsid w:val="0069143D"/>
    <w:rsid w:val="0069155A"/>
    <w:rsid w:val="00691B77"/>
    <w:rsid w:val="00691C47"/>
    <w:rsid w:val="00692224"/>
    <w:rsid w:val="0069225C"/>
    <w:rsid w:val="0069228D"/>
    <w:rsid w:val="00692376"/>
    <w:rsid w:val="006923BC"/>
    <w:rsid w:val="0069273C"/>
    <w:rsid w:val="00693191"/>
    <w:rsid w:val="006931CF"/>
    <w:rsid w:val="006933BA"/>
    <w:rsid w:val="00693675"/>
    <w:rsid w:val="00693764"/>
    <w:rsid w:val="006938E5"/>
    <w:rsid w:val="0069391B"/>
    <w:rsid w:val="00693960"/>
    <w:rsid w:val="00693968"/>
    <w:rsid w:val="00693B72"/>
    <w:rsid w:val="00693C8A"/>
    <w:rsid w:val="00693CD1"/>
    <w:rsid w:val="00693CD9"/>
    <w:rsid w:val="006940A7"/>
    <w:rsid w:val="006940B9"/>
    <w:rsid w:val="0069423E"/>
    <w:rsid w:val="00694325"/>
    <w:rsid w:val="0069432E"/>
    <w:rsid w:val="006944BE"/>
    <w:rsid w:val="00694948"/>
    <w:rsid w:val="00694971"/>
    <w:rsid w:val="00694A24"/>
    <w:rsid w:val="00694AAC"/>
    <w:rsid w:val="00694BE8"/>
    <w:rsid w:val="00694D79"/>
    <w:rsid w:val="00695002"/>
    <w:rsid w:val="006952BC"/>
    <w:rsid w:val="0069531B"/>
    <w:rsid w:val="00695336"/>
    <w:rsid w:val="00695865"/>
    <w:rsid w:val="00695AE2"/>
    <w:rsid w:val="00695BFC"/>
    <w:rsid w:val="00695CFF"/>
    <w:rsid w:val="006961D3"/>
    <w:rsid w:val="00696399"/>
    <w:rsid w:val="00696448"/>
    <w:rsid w:val="00696761"/>
    <w:rsid w:val="00696938"/>
    <w:rsid w:val="0069695A"/>
    <w:rsid w:val="00696D3D"/>
    <w:rsid w:val="00696DCF"/>
    <w:rsid w:val="00696E90"/>
    <w:rsid w:val="00696F6F"/>
    <w:rsid w:val="006970A6"/>
    <w:rsid w:val="006978B4"/>
    <w:rsid w:val="006979FB"/>
    <w:rsid w:val="006A0089"/>
    <w:rsid w:val="006A031D"/>
    <w:rsid w:val="006A03ED"/>
    <w:rsid w:val="006A0C14"/>
    <w:rsid w:val="006A1009"/>
    <w:rsid w:val="006A1122"/>
    <w:rsid w:val="006A11A6"/>
    <w:rsid w:val="006A11DC"/>
    <w:rsid w:val="006A1266"/>
    <w:rsid w:val="006A1351"/>
    <w:rsid w:val="006A1390"/>
    <w:rsid w:val="006A178A"/>
    <w:rsid w:val="006A17E0"/>
    <w:rsid w:val="006A18FA"/>
    <w:rsid w:val="006A1BDC"/>
    <w:rsid w:val="006A1CAE"/>
    <w:rsid w:val="006A21B7"/>
    <w:rsid w:val="006A21E7"/>
    <w:rsid w:val="006A23B3"/>
    <w:rsid w:val="006A2686"/>
    <w:rsid w:val="006A280D"/>
    <w:rsid w:val="006A281F"/>
    <w:rsid w:val="006A2832"/>
    <w:rsid w:val="006A28E8"/>
    <w:rsid w:val="006A2AAE"/>
    <w:rsid w:val="006A2BEC"/>
    <w:rsid w:val="006A2C2F"/>
    <w:rsid w:val="006A2D4D"/>
    <w:rsid w:val="006A2D51"/>
    <w:rsid w:val="006A3027"/>
    <w:rsid w:val="006A3090"/>
    <w:rsid w:val="006A3223"/>
    <w:rsid w:val="006A32F8"/>
    <w:rsid w:val="006A33A7"/>
    <w:rsid w:val="006A3550"/>
    <w:rsid w:val="006A3641"/>
    <w:rsid w:val="006A370D"/>
    <w:rsid w:val="006A3854"/>
    <w:rsid w:val="006A385C"/>
    <w:rsid w:val="006A3868"/>
    <w:rsid w:val="006A39A0"/>
    <w:rsid w:val="006A3A64"/>
    <w:rsid w:val="006A3B8A"/>
    <w:rsid w:val="006A3BFD"/>
    <w:rsid w:val="006A3DCE"/>
    <w:rsid w:val="006A3E29"/>
    <w:rsid w:val="006A3FB6"/>
    <w:rsid w:val="006A3FF0"/>
    <w:rsid w:val="006A4112"/>
    <w:rsid w:val="006A4164"/>
    <w:rsid w:val="006A433B"/>
    <w:rsid w:val="006A43ED"/>
    <w:rsid w:val="006A43F9"/>
    <w:rsid w:val="006A471A"/>
    <w:rsid w:val="006A49FE"/>
    <w:rsid w:val="006A4A0F"/>
    <w:rsid w:val="006A4B86"/>
    <w:rsid w:val="006A4C92"/>
    <w:rsid w:val="006A4F6C"/>
    <w:rsid w:val="006A52BD"/>
    <w:rsid w:val="006A58F1"/>
    <w:rsid w:val="006A5ACE"/>
    <w:rsid w:val="006A5B2D"/>
    <w:rsid w:val="006A5C2D"/>
    <w:rsid w:val="006A5DB7"/>
    <w:rsid w:val="006A5E16"/>
    <w:rsid w:val="006A5FA0"/>
    <w:rsid w:val="006A65D5"/>
    <w:rsid w:val="006A6719"/>
    <w:rsid w:val="006A6758"/>
    <w:rsid w:val="006A6829"/>
    <w:rsid w:val="006A697C"/>
    <w:rsid w:val="006A6BF5"/>
    <w:rsid w:val="006A6CE6"/>
    <w:rsid w:val="006A6E8F"/>
    <w:rsid w:val="006A72F8"/>
    <w:rsid w:val="006A79D4"/>
    <w:rsid w:val="006B0159"/>
    <w:rsid w:val="006B0450"/>
    <w:rsid w:val="006B0787"/>
    <w:rsid w:val="006B0AAA"/>
    <w:rsid w:val="006B0B68"/>
    <w:rsid w:val="006B0FE7"/>
    <w:rsid w:val="006B128D"/>
    <w:rsid w:val="006B1719"/>
    <w:rsid w:val="006B1969"/>
    <w:rsid w:val="006B1E8A"/>
    <w:rsid w:val="006B1F01"/>
    <w:rsid w:val="006B2033"/>
    <w:rsid w:val="006B22D6"/>
    <w:rsid w:val="006B2389"/>
    <w:rsid w:val="006B29AD"/>
    <w:rsid w:val="006B2C15"/>
    <w:rsid w:val="006B2DB1"/>
    <w:rsid w:val="006B2E83"/>
    <w:rsid w:val="006B2FA0"/>
    <w:rsid w:val="006B30ED"/>
    <w:rsid w:val="006B3279"/>
    <w:rsid w:val="006B3283"/>
    <w:rsid w:val="006B32EA"/>
    <w:rsid w:val="006B3305"/>
    <w:rsid w:val="006B3523"/>
    <w:rsid w:val="006B3594"/>
    <w:rsid w:val="006B366B"/>
    <w:rsid w:val="006B38AE"/>
    <w:rsid w:val="006B3B2C"/>
    <w:rsid w:val="006B3B99"/>
    <w:rsid w:val="006B3D69"/>
    <w:rsid w:val="006B3DBB"/>
    <w:rsid w:val="006B3E61"/>
    <w:rsid w:val="006B3F4B"/>
    <w:rsid w:val="006B4379"/>
    <w:rsid w:val="006B45AF"/>
    <w:rsid w:val="006B463B"/>
    <w:rsid w:val="006B4B5B"/>
    <w:rsid w:val="006B51A8"/>
    <w:rsid w:val="006B5437"/>
    <w:rsid w:val="006B5534"/>
    <w:rsid w:val="006B5585"/>
    <w:rsid w:val="006B592A"/>
    <w:rsid w:val="006B59C4"/>
    <w:rsid w:val="006B601D"/>
    <w:rsid w:val="006B60F7"/>
    <w:rsid w:val="006B61F6"/>
    <w:rsid w:val="006B63D3"/>
    <w:rsid w:val="006B6893"/>
    <w:rsid w:val="006B68C6"/>
    <w:rsid w:val="006B6F5C"/>
    <w:rsid w:val="006B6FC5"/>
    <w:rsid w:val="006B70EA"/>
    <w:rsid w:val="006B7293"/>
    <w:rsid w:val="006B73EB"/>
    <w:rsid w:val="006B7447"/>
    <w:rsid w:val="006B7479"/>
    <w:rsid w:val="006B7813"/>
    <w:rsid w:val="006B787A"/>
    <w:rsid w:val="006B7B36"/>
    <w:rsid w:val="006B7D19"/>
    <w:rsid w:val="006B7DCE"/>
    <w:rsid w:val="006B7EC5"/>
    <w:rsid w:val="006B7F01"/>
    <w:rsid w:val="006C0263"/>
    <w:rsid w:val="006C0280"/>
    <w:rsid w:val="006C0544"/>
    <w:rsid w:val="006C08C1"/>
    <w:rsid w:val="006C0988"/>
    <w:rsid w:val="006C0A01"/>
    <w:rsid w:val="006C0ACB"/>
    <w:rsid w:val="006C0B2D"/>
    <w:rsid w:val="006C0B43"/>
    <w:rsid w:val="006C0D07"/>
    <w:rsid w:val="006C122D"/>
    <w:rsid w:val="006C1568"/>
    <w:rsid w:val="006C165D"/>
    <w:rsid w:val="006C18AF"/>
    <w:rsid w:val="006C1A27"/>
    <w:rsid w:val="006C1D1E"/>
    <w:rsid w:val="006C1E69"/>
    <w:rsid w:val="006C24B2"/>
    <w:rsid w:val="006C25B9"/>
    <w:rsid w:val="006C27CC"/>
    <w:rsid w:val="006C288F"/>
    <w:rsid w:val="006C2A18"/>
    <w:rsid w:val="006C329E"/>
    <w:rsid w:val="006C32CF"/>
    <w:rsid w:val="006C3440"/>
    <w:rsid w:val="006C3548"/>
    <w:rsid w:val="006C3634"/>
    <w:rsid w:val="006C376C"/>
    <w:rsid w:val="006C38C2"/>
    <w:rsid w:val="006C3E53"/>
    <w:rsid w:val="006C3E68"/>
    <w:rsid w:val="006C40ED"/>
    <w:rsid w:val="006C4210"/>
    <w:rsid w:val="006C432C"/>
    <w:rsid w:val="006C44B3"/>
    <w:rsid w:val="006C44D6"/>
    <w:rsid w:val="006C4706"/>
    <w:rsid w:val="006C4847"/>
    <w:rsid w:val="006C4901"/>
    <w:rsid w:val="006C4A96"/>
    <w:rsid w:val="006C4BE0"/>
    <w:rsid w:val="006C4C8E"/>
    <w:rsid w:val="006C4EA1"/>
    <w:rsid w:val="006C502B"/>
    <w:rsid w:val="006C5112"/>
    <w:rsid w:val="006C545E"/>
    <w:rsid w:val="006C568B"/>
    <w:rsid w:val="006C5849"/>
    <w:rsid w:val="006C5AE2"/>
    <w:rsid w:val="006C5B0F"/>
    <w:rsid w:val="006C5C1C"/>
    <w:rsid w:val="006C5D58"/>
    <w:rsid w:val="006C5FF3"/>
    <w:rsid w:val="006C622D"/>
    <w:rsid w:val="006C62D6"/>
    <w:rsid w:val="006C63B4"/>
    <w:rsid w:val="006C63E5"/>
    <w:rsid w:val="006C69AF"/>
    <w:rsid w:val="006C6B13"/>
    <w:rsid w:val="006C6B96"/>
    <w:rsid w:val="006C6F1F"/>
    <w:rsid w:val="006C70EC"/>
    <w:rsid w:val="006C7687"/>
    <w:rsid w:val="006C775A"/>
    <w:rsid w:val="006C7774"/>
    <w:rsid w:val="006C7787"/>
    <w:rsid w:val="006C78C0"/>
    <w:rsid w:val="006C797B"/>
    <w:rsid w:val="006D0704"/>
    <w:rsid w:val="006D089A"/>
    <w:rsid w:val="006D0D68"/>
    <w:rsid w:val="006D0E69"/>
    <w:rsid w:val="006D0FD7"/>
    <w:rsid w:val="006D1016"/>
    <w:rsid w:val="006D10EB"/>
    <w:rsid w:val="006D124A"/>
    <w:rsid w:val="006D12C7"/>
    <w:rsid w:val="006D1713"/>
    <w:rsid w:val="006D1D89"/>
    <w:rsid w:val="006D220B"/>
    <w:rsid w:val="006D235C"/>
    <w:rsid w:val="006D2395"/>
    <w:rsid w:val="006D25BF"/>
    <w:rsid w:val="006D264F"/>
    <w:rsid w:val="006D2880"/>
    <w:rsid w:val="006D2F4B"/>
    <w:rsid w:val="006D338C"/>
    <w:rsid w:val="006D352D"/>
    <w:rsid w:val="006D3572"/>
    <w:rsid w:val="006D37AF"/>
    <w:rsid w:val="006D3867"/>
    <w:rsid w:val="006D39F4"/>
    <w:rsid w:val="006D39FE"/>
    <w:rsid w:val="006D3EBC"/>
    <w:rsid w:val="006D48CB"/>
    <w:rsid w:val="006D48FF"/>
    <w:rsid w:val="006D49D6"/>
    <w:rsid w:val="006D4A1A"/>
    <w:rsid w:val="006D4A69"/>
    <w:rsid w:val="006D4E9E"/>
    <w:rsid w:val="006D4F9C"/>
    <w:rsid w:val="006D5520"/>
    <w:rsid w:val="006D5B21"/>
    <w:rsid w:val="006D5B93"/>
    <w:rsid w:val="006D5BCF"/>
    <w:rsid w:val="006D5BD9"/>
    <w:rsid w:val="006D5C4A"/>
    <w:rsid w:val="006D5C66"/>
    <w:rsid w:val="006D6081"/>
    <w:rsid w:val="006D609C"/>
    <w:rsid w:val="006D623E"/>
    <w:rsid w:val="006D645E"/>
    <w:rsid w:val="006D64A2"/>
    <w:rsid w:val="006D655D"/>
    <w:rsid w:val="006D678F"/>
    <w:rsid w:val="006D6840"/>
    <w:rsid w:val="006D6D9C"/>
    <w:rsid w:val="006D6DB5"/>
    <w:rsid w:val="006D6DFA"/>
    <w:rsid w:val="006D7097"/>
    <w:rsid w:val="006D722A"/>
    <w:rsid w:val="006D76C5"/>
    <w:rsid w:val="006D76CC"/>
    <w:rsid w:val="006D7800"/>
    <w:rsid w:val="006D7979"/>
    <w:rsid w:val="006D7B4E"/>
    <w:rsid w:val="006D7B9A"/>
    <w:rsid w:val="006D7C3D"/>
    <w:rsid w:val="006D7CB0"/>
    <w:rsid w:val="006D7F3C"/>
    <w:rsid w:val="006D7FBB"/>
    <w:rsid w:val="006E00D9"/>
    <w:rsid w:val="006E0211"/>
    <w:rsid w:val="006E024A"/>
    <w:rsid w:val="006E049D"/>
    <w:rsid w:val="006E0896"/>
    <w:rsid w:val="006E091D"/>
    <w:rsid w:val="006E096E"/>
    <w:rsid w:val="006E0CEA"/>
    <w:rsid w:val="006E104E"/>
    <w:rsid w:val="006E1168"/>
    <w:rsid w:val="006E1169"/>
    <w:rsid w:val="006E15C3"/>
    <w:rsid w:val="006E19AB"/>
    <w:rsid w:val="006E1BDF"/>
    <w:rsid w:val="006E1CA1"/>
    <w:rsid w:val="006E1E91"/>
    <w:rsid w:val="006E21D6"/>
    <w:rsid w:val="006E2360"/>
    <w:rsid w:val="006E27EB"/>
    <w:rsid w:val="006E2A76"/>
    <w:rsid w:val="006E2DFF"/>
    <w:rsid w:val="006E2FAB"/>
    <w:rsid w:val="006E3111"/>
    <w:rsid w:val="006E33B8"/>
    <w:rsid w:val="006E3454"/>
    <w:rsid w:val="006E36B3"/>
    <w:rsid w:val="006E384B"/>
    <w:rsid w:val="006E395B"/>
    <w:rsid w:val="006E3BBD"/>
    <w:rsid w:val="006E3E0F"/>
    <w:rsid w:val="006E3F33"/>
    <w:rsid w:val="006E4586"/>
    <w:rsid w:val="006E45AD"/>
    <w:rsid w:val="006E4679"/>
    <w:rsid w:val="006E47C0"/>
    <w:rsid w:val="006E48BF"/>
    <w:rsid w:val="006E48C0"/>
    <w:rsid w:val="006E49DE"/>
    <w:rsid w:val="006E4A75"/>
    <w:rsid w:val="006E4B8A"/>
    <w:rsid w:val="006E4CA3"/>
    <w:rsid w:val="006E4FD3"/>
    <w:rsid w:val="006E55F2"/>
    <w:rsid w:val="006E565A"/>
    <w:rsid w:val="006E5759"/>
    <w:rsid w:val="006E57A9"/>
    <w:rsid w:val="006E5804"/>
    <w:rsid w:val="006E5DE7"/>
    <w:rsid w:val="006E6082"/>
    <w:rsid w:val="006E6245"/>
    <w:rsid w:val="006E64BD"/>
    <w:rsid w:val="006E64C5"/>
    <w:rsid w:val="006E6721"/>
    <w:rsid w:val="006E6813"/>
    <w:rsid w:val="006E6A01"/>
    <w:rsid w:val="006E6DB2"/>
    <w:rsid w:val="006E6F99"/>
    <w:rsid w:val="006E7060"/>
    <w:rsid w:val="006E710F"/>
    <w:rsid w:val="006E72C7"/>
    <w:rsid w:val="006E7699"/>
    <w:rsid w:val="006E7867"/>
    <w:rsid w:val="006E7D46"/>
    <w:rsid w:val="006F0035"/>
    <w:rsid w:val="006F060E"/>
    <w:rsid w:val="006F0CF1"/>
    <w:rsid w:val="006F0DA3"/>
    <w:rsid w:val="006F0E14"/>
    <w:rsid w:val="006F0FE4"/>
    <w:rsid w:val="006F1284"/>
    <w:rsid w:val="006F162C"/>
    <w:rsid w:val="006F1658"/>
    <w:rsid w:val="006F1BA8"/>
    <w:rsid w:val="006F1BF9"/>
    <w:rsid w:val="006F1D80"/>
    <w:rsid w:val="006F1F86"/>
    <w:rsid w:val="006F20D2"/>
    <w:rsid w:val="006F20EA"/>
    <w:rsid w:val="006F3192"/>
    <w:rsid w:val="006F31AB"/>
    <w:rsid w:val="006F31F4"/>
    <w:rsid w:val="006F324C"/>
    <w:rsid w:val="006F326A"/>
    <w:rsid w:val="006F32E8"/>
    <w:rsid w:val="006F3567"/>
    <w:rsid w:val="006F37B5"/>
    <w:rsid w:val="006F37F3"/>
    <w:rsid w:val="006F39AA"/>
    <w:rsid w:val="006F3A4F"/>
    <w:rsid w:val="006F3BC9"/>
    <w:rsid w:val="006F3DFB"/>
    <w:rsid w:val="006F41A0"/>
    <w:rsid w:val="006F4446"/>
    <w:rsid w:val="006F487A"/>
    <w:rsid w:val="006F49B3"/>
    <w:rsid w:val="006F4B87"/>
    <w:rsid w:val="006F4E66"/>
    <w:rsid w:val="006F5050"/>
    <w:rsid w:val="006F5470"/>
    <w:rsid w:val="006F5496"/>
    <w:rsid w:val="006F56A5"/>
    <w:rsid w:val="006F5875"/>
    <w:rsid w:val="006F588B"/>
    <w:rsid w:val="006F5981"/>
    <w:rsid w:val="006F5B3F"/>
    <w:rsid w:val="006F5D4A"/>
    <w:rsid w:val="006F5D57"/>
    <w:rsid w:val="006F6156"/>
    <w:rsid w:val="006F65EE"/>
    <w:rsid w:val="006F6678"/>
    <w:rsid w:val="006F6707"/>
    <w:rsid w:val="006F6768"/>
    <w:rsid w:val="006F694A"/>
    <w:rsid w:val="006F6A7B"/>
    <w:rsid w:val="006F6CC0"/>
    <w:rsid w:val="006F6F10"/>
    <w:rsid w:val="006F6F59"/>
    <w:rsid w:val="006F76AA"/>
    <w:rsid w:val="006F7878"/>
    <w:rsid w:val="006F788B"/>
    <w:rsid w:val="006F7C95"/>
    <w:rsid w:val="006F7CBB"/>
    <w:rsid w:val="0070006F"/>
    <w:rsid w:val="0070012B"/>
    <w:rsid w:val="0070053F"/>
    <w:rsid w:val="0070059E"/>
    <w:rsid w:val="0070084C"/>
    <w:rsid w:val="00700BFA"/>
    <w:rsid w:val="00700DB2"/>
    <w:rsid w:val="00700F27"/>
    <w:rsid w:val="00701081"/>
    <w:rsid w:val="00701967"/>
    <w:rsid w:val="00701D16"/>
    <w:rsid w:val="00701E4A"/>
    <w:rsid w:val="00701FC6"/>
    <w:rsid w:val="00701FCF"/>
    <w:rsid w:val="0070215A"/>
    <w:rsid w:val="007021B1"/>
    <w:rsid w:val="0070231C"/>
    <w:rsid w:val="00702476"/>
    <w:rsid w:val="0070278C"/>
    <w:rsid w:val="007027F0"/>
    <w:rsid w:val="00702851"/>
    <w:rsid w:val="007029C2"/>
    <w:rsid w:val="00702B01"/>
    <w:rsid w:val="00702BCE"/>
    <w:rsid w:val="00702CD3"/>
    <w:rsid w:val="00702FFA"/>
    <w:rsid w:val="00703042"/>
    <w:rsid w:val="0070325C"/>
    <w:rsid w:val="0070337C"/>
    <w:rsid w:val="007034EE"/>
    <w:rsid w:val="00703657"/>
    <w:rsid w:val="0070392F"/>
    <w:rsid w:val="00703982"/>
    <w:rsid w:val="007039B7"/>
    <w:rsid w:val="007039F9"/>
    <w:rsid w:val="00703A8C"/>
    <w:rsid w:val="00703A8E"/>
    <w:rsid w:val="00703AED"/>
    <w:rsid w:val="00703F2A"/>
    <w:rsid w:val="007042D9"/>
    <w:rsid w:val="00704314"/>
    <w:rsid w:val="00704412"/>
    <w:rsid w:val="007044E7"/>
    <w:rsid w:val="00705053"/>
    <w:rsid w:val="0070512F"/>
    <w:rsid w:val="00705317"/>
    <w:rsid w:val="0070546B"/>
    <w:rsid w:val="00705489"/>
    <w:rsid w:val="00705559"/>
    <w:rsid w:val="0070569F"/>
    <w:rsid w:val="00705814"/>
    <w:rsid w:val="0070599A"/>
    <w:rsid w:val="00705ACF"/>
    <w:rsid w:val="00705E4B"/>
    <w:rsid w:val="007060FC"/>
    <w:rsid w:val="00706116"/>
    <w:rsid w:val="007062DC"/>
    <w:rsid w:val="007063ED"/>
    <w:rsid w:val="00706BE8"/>
    <w:rsid w:val="00707201"/>
    <w:rsid w:val="007072A5"/>
    <w:rsid w:val="007073A1"/>
    <w:rsid w:val="00707444"/>
    <w:rsid w:val="007074AA"/>
    <w:rsid w:val="007074F1"/>
    <w:rsid w:val="0070769B"/>
    <w:rsid w:val="0070793B"/>
    <w:rsid w:val="00707C14"/>
    <w:rsid w:val="00707E01"/>
    <w:rsid w:val="0070C715"/>
    <w:rsid w:val="0071010E"/>
    <w:rsid w:val="007101B7"/>
    <w:rsid w:val="0071027D"/>
    <w:rsid w:val="007102AF"/>
    <w:rsid w:val="0071062A"/>
    <w:rsid w:val="00710642"/>
    <w:rsid w:val="007107F4"/>
    <w:rsid w:val="00710803"/>
    <w:rsid w:val="00710823"/>
    <w:rsid w:val="007108DA"/>
    <w:rsid w:val="007108E9"/>
    <w:rsid w:val="00710987"/>
    <w:rsid w:val="00710C31"/>
    <w:rsid w:val="00710C35"/>
    <w:rsid w:val="00710EA4"/>
    <w:rsid w:val="00711457"/>
    <w:rsid w:val="007115DB"/>
    <w:rsid w:val="007115FE"/>
    <w:rsid w:val="007119E9"/>
    <w:rsid w:val="00711A88"/>
    <w:rsid w:val="00711AED"/>
    <w:rsid w:val="00711E05"/>
    <w:rsid w:val="00711ED7"/>
    <w:rsid w:val="00712007"/>
    <w:rsid w:val="00712185"/>
    <w:rsid w:val="007123B1"/>
    <w:rsid w:val="0071267C"/>
    <w:rsid w:val="0071276E"/>
    <w:rsid w:val="00712827"/>
    <w:rsid w:val="0071289B"/>
    <w:rsid w:val="00712FE2"/>
    <w:rsid w:val="007130FB"/>
    <w:rsid w:val="0071335B"/>
    <w:rsid w:val="0071344F"/>
    <w:rsid w:val="00713539"/>
    <w:rsid w:val="00713632"/>
    <w:rsid w:val="00713704"/>
    <w:rsid w:val="0071399C"/>
    <w:rsid w:val="00713A22"/>
    <w:rsid w:val="00713A9C"/>
    <w:rsid w:val="007140A9"/>
    <w:rsid w:val="007140EA"/>
    <w:rsid w:val="0071448D"/>
    <w:rsid w:val="00714655"/>
    <w:rsid w:val="00714937"/>
    <w:rsid w:val="00714B0C"/>
    <w:rsid w:val="00714D6B"/>
    <w:rsid w:val="007150AC"/>
    <w:rsid w:val="007150FF"/>
    <w:rsid w:val="0071525A"/>
    <w:rsid w:val="007153CB"/>
    <w:rsid w:val="007153CC"/>
    <w:rsid w:val="0071570D"/>
    <w:rsid w:val="00715CEA"/>
    <w:rsid w:val="00715E99"/>
    <w:rsid w:val="007160A8"/>
    <w:rsid w:val="007162E5"/>
    <w:rsid w:val="007166B4"/>
    <w:rsid w:val="00716B0E"/>
    <w:rsid w:val="00716E92"/>
    <w:rsid w:val="00716E9C"/>
    <w:rsid w:val="00716F1F"/>
    <w:rsid w:val="007170EB"/>
    <w:rsid w:val="0071715D"/>
    <w:rsid w:val="00717368"/>
    <w:rsid w:val="00717725"/>
    <w:rsid w:val="00717816"/>
    <w:rsid w:val="00717858"/>
    <w:rsid w:val="00717957"/>
    <w:rsid w:val="00717AED"/>
    <w:rsid w:val="00717CF4"/>
    <w:rsid w:val="00717D71"/>
    <w:rsid w:val="00720012"/>
    <w:rsid w:val="00720021"/>
    <w:rsid w:val="007201F4"/>
    <w:rsid w:val="0072020B"/>
    <w:rsid w:val="007202AA"/>
    <w:rsid w:val="007202BD"/>
    <w:rsid w:val="00720338"/>
    <w:rsid w:val="007204A6"/>
    <w:rsid w:val="00720767"/>
    <w:rsid w:val="00720803"/>
    <w:rsid w:val="00720A38"/>
    <w:rsid w:val="00720D19"/>
    <w:rsid w:val="00720EA2"/>
    <w:rsid w:val="00720F7F"/>
    <w:rsid w:val="00720FD5"/>
    <w:rsid w:val="00721032"/>
    <w:rsid w:val="00721073"/>
    <w:rsid w:val="007210BA"/>
    <w:rsid w:val="00721229"/>
    <w:rsid w:val="00721737"/>
    <w:rsid w:val="00721748"/>
    <w:rsid w:val="00721959"/>
    <w:rsid w:val="00721B13"/>
    <w:rsid w:val="00721D0D"/>
    <w:rsid w:val="00721F33"/>
    <w:rsid w:val="007224E5"/>
    <w:rsid w:val="007226DA"/>
    <w:rsid w:val="007226E3"/>
    <w:rsid w:val="00722761"/>
    <w:rsid w:val="007228C5"/>
    <w:rsid w:val="00722A0B"/>
    <w:rsid w:val="00722A65"/>
    <w:rsid w:val="00722E12"/>
    <w:rsid w:val="0072329E"/>
    <w:rsid w:val="007234E4"/>
    <w:rsid w:val="0072358D"/>
    <w:rsid w:val="0072364E"/>
    <w:rsid w:val="007237C7"/>
    <w:rsid w:val="00723A6F"/>
    <w:rsid w:val="00723ADD"/>
    <w:rsid w:val="00723B8E"/>
    <w:rsid w:val="00723C73"/>
    <w:rsid w:val="00723D82"/>
    <w:rsid w:val="00724099"/>
    <w:rsid w:val="007240A1"/>
    <w:rsid w:val="0072416D"/>
    <w:rsid w:val="00724619"/>
    <w:rsid w:val="00724748"/>
    <w:rsid w:val="0072483D"/>
    <w:rsid w:val="00724BB5"/>
    <w:rsid w:val="00724CEA"/>
    <w:rsid w:val="00724E25"/>
    <w:rsid w:val="0072502B"/>
    <w:rsid w:val="00725491"/>
    <w:rsid w:val="0072558D"/>
    <w:rsid w:val="007256DF"/>
    <w:rsid w:val="0072576B"/>
    <w:rsid w:val="00725872"/>
    <w:rsid w:val="00725893"/>
    <w:rsid w:val="007258B1"/>
    <w:rsid w:val="00725AC7"/>
    <w:rsid w:val="00725C99"/>
    <w:rsid w:val="00725EA7"/>
    <w:rsid w:val="00725F0B"/>
    <w:rsid w:val="00725F95"/>
    <w:rsid w:val="00725FB2"/>
    <w:rsid w:val="0072633F"/>
    <w:rsid w:val="0072639C"/>
    <w:rsid w:val="00726475"/>
    <w:rsid w:val="007266A4"/>
    <w:rsid w:val="00726727"/>
    <w:rsid w:val="00726AEA"/>
    <w:rsid w:val="00726B17"/>
    <w:rsid w:val="00726BEC"/>
    <w:rsid w:val="00726BED"/>
    <w:rsid w:val="00726D4E"/>
    <w:rsid w:val="0072788D"/>
    <w:rsid w:val="00727A18"/>
    <w:rsid w:val="00727A55"/>
    <w:rsid w:val="00727D73"/>
    <w:rsid w:val="00730054"/>
    <w:rsid w:val="007300A4"/>
    <w:rsid w:val="007304D2"/>
    <w:rsid w:val="007305D0"/>
    <w:rsid w:val="00730649"/>
    <w:rsid w:val="007306BA"/>
    <w:rsid w:val="007306EB"/>
    <w:rsid w:val="007306ED"/>
    <w:rsid w:val="0073075A"/>
    <w:rsid w:val="0073082E"/>
    <w:rsid w:val="007309B3"/>
    <w:rsid w:val="007309D4"/>
    <w:rsid w:val="00730A6B"/>
    <w:rsid w:val="00730A8E"/>
    <w:rsid w:val="00730B18"/>
    <w:rsid w:val="00730D34"/>
    <w:rsid w:val="0073105B"/>
    <w:rsid w:val="00731538"/>
    <w:rsid w:val="007315FF"/>
    <w:rsid w:val="00731B17"/>
    <w:rsid w:val="0073202C"/>
    <w:rsid w:val="00732145"/>
    <w:rsid w:val="007324BB"/>
    <w:rsid w:val="00732941"/>
    <w:rsid w:val="00732C3D"/>
    <w:rsid w:val="00732CB0"/>
    <w:rsid w:val="00733196"/>
    <w:rsid w:val="007331BE"/>
    <w:rsid w:val="00733327"/>
    <w:rsid w:val="007336E0"/>
    <w:rsid w:val="00733ADF"/>
    <w:rsid w:val="00733BE1"/>
    <w:rsid w:val="00733E5D"/>
    <w:rsid w:val="00733F07"/>
    <w:rsid w:val="00733F9E"/>
    <w:rsid w:val="007340D2"/>
    <w:rsid w:val="007342D4"/>
    <w:rsid w:val="00734746"/>
    <w:rsid w:val="00734B54"/>
    <w:rsid w:val="00734D64"/>
    <w:rsid w:val="00735253"/>
    <w:rsid w:val="00735823"/>
    <w:rsid w:val="0073596B"/>
    <w:rsid w:val="00735987"/>
    <w:rsid w:val="00735E20"/>
    <w:rsid w:val="00735F40"/>
    <w:rsid w:val="00736244"/>
    <w:rsid w:val="0073643A"/>
    <w:rsid w:val="0073651F"/>
    <w:rsid w:val="007365DA"/>
    <w:rsid w:val="007367A5"/>
    <w:rsid w:val="007367E5"/>
    <w:rsid w:val="007369A2"/>
    <w:rsid w:val="00736C25"/>
    <w:rsid w:val="00736C5C"/>
    <w:rsid w:val="00736DDC"/>
    <w:rsid w:val="0073711D"/>
    <w:rsid w:val="007372AC"/>
    <w:rsid w:val="007374B9"/>
    <w:rsid w:val="007374E5"/>
    <w:rsid w:val="0073775D"/>
    <w:rsid w:val="007379DF"/>
    <w:rsid w:val="00737A44"/>
    <w:rsid w:val="00737C0B"/>
    <w:rsid w:val="00737CED"/>
    <w:rsid w:val="00737F18"/>
    <w:rsid w:val="00737F1F"/>
    <w:rsid w:val="00737F46"/>
    <w:rsid w:val="00737FA4"/>
    <w:rsid w:val="007401D8"/>
    <w:rsid w:val="00740375"/>
    <w:rsid w:val="007403A6"/>
    <w:rsid w:val="00740445"/>
    <w:rsid w:val="00740728"/>
    <w:rsid w:val="00740890"/>
    <w:rsid w:val="007408AF"/>
    <w:rsid w:val="0074090E"/>
    <w:rsid w:val="0074094F"/>
    <w:rsid w:val="00740A10"/>
    <w:rsid w:val="00740A7B"/>
    <w:rsid w:val="00740AE4"/>
    <w:rsid w:val="00740D09"/>
    <w:rsid w:val="00741082"/>
    <w:rsid w:val="0074125C"/>
    <w:rsid w:val="007416DF"/>
    <w:rsid w:val="0074171B"/>
    <w:rsid w:val="0074180F"/>
    <w:rsid w:val="007418B7"/>
    <w:rsid w:val="00741BD5"/>
    <w:rsid w:val="00741BFF"/>
    <w:rsid w:val="00741C2D"/>
    <w:rsid w:val="00741DA8"/>
    <w:rsid w:val="00741DAA"/>
    <w:rsid w:val="00741E0F"/>
    <w:rsid w:val="00742228"/>
    <w:rsid w:val="00742348"/>
    <w:rsid w:val="0074234F"/>
    <w:rsid w:val="007428EA"/>
    <w:rsid w:val="00742C2C"/>
    <w:rsid w:val="00742D5B"/>
    <w:rsid w:val="00742F33"/>
    <w:rsid w:val="00743028"/>
    <w:rsid w:val="007431C5"/>
    <w:rsid w:val="007431F3"/>
    <w:rsid w:val="00743226"/>
    <w:rsid w:val="00743236"/>
    <w:rsid w:val="00743775"/>
    <w:rsid w:val="007437DA"/>
    <w:rsid w:val="0074389E"/>
    <w:rsid w:val="00743D28"/>
    <w:rsid w:val="00743EBE"/>
    <w:rsid w:val="007445DD"/>
    <w:rsid w:val="007445F6"/>
    <w:rsid w:val="007446F2"/>
    <w:rsid w:val="0074472B"/>
    <w:rsid w:val="00744A50"/>
    <w:rsid w:val="00744CDE"/>
    <w:rsid w:val="00744ED9"/>
    <w:rsid w:val="00745153"/>
    <w:rsid w:val="0074539F"/>
    <w:rsid w:val="007453CA"/>
    <w:rsid w:val="00745468"/>
    <w:rsid w:val="007457C3"/>
    <w:rsid w:val="00745851"/>
    <w:rsid w:val="0074594C"/>
    <w:rsid w:val="0074594E"/>
    <w:rsid w:val="00745CF5"/>
    <w:rsid w:val="00745E43"/>
    <w:rsid w:val="00745E9A"/>
    <w:rsid w:val="007464E9"/>
    <w:rsid w:val="007466D8"/>
    <w:rsid w:val="0074672C"/>
    <w:rsid w:val="00746E84"/>
    <w:rsid w:val="00747148"/>
    <w:rsid w:val="0074720F"/>
    <w:rsid w:val="007472CE"/>
    <w:rsid w:val="00747405"/>
    <w:rsid w:val="00747644"/>
    <w:rsid w:val="00747A8A"/>
    <w:rsid w:val="00747BAE"/>
    <w:rsid w:val="00747CED"/>
    <w:rsid w:val="00747D13"/>
    <w:rsid w:val="00747D9E"/>
    <w:rsid w:val="00747ED2"/>
    <w:rsid w:val="00747EE1"/>
    <w:rsid w:val="00750042"/>
    <w:rsid w:val="0075006B"/>
    <w:rsid w:val="0075026D"/>
    <w:rsid w:val="00750383"/>
    <w:rsid w:val="0075047C"/>
    <w:rsid w:val="007504F9"/>
    <w:rsid w:val="0075077A"/>
    <w:rsid w:val="00750997"/>
    <w:rsid w:val="00750ABC"/>
    <w:rsid w:val="00750D60"/>
    <w:rsid w:val="00750DEA"/>
    <w:rsid w:val="00750F41"/>
    <w:rsid w:val="00751082"/>
    <w:rsid w:val="0075111D"/>
    <w:rsid w:val="00751134"/>
    <w:rsid w:val="0075170D"/>
    <w:rsid w:val="00751B09"/>
    <w:rsid w:val="00751C9E"/>
    <w:rsid w:val="00751D05"/>
    <w:rsid w:val="00751D7A"/>
    <w:rsid w:val="00751DC6"/>
    <w:rsid w:val="00751F1B"/>
    <w:rsid w:val="00752142"/>
    <w:rsid w:val="0075215E"/>
    <w:rsid w:val="00752A0B"/>
    <w:rsid w:val="00752A3A"/>
    <w:rsid w:val="00752DBF"/>
    <w:rsid w:val="00753083"/>
    <w:rsid w:val="0075335F"/>
    <w:rsid w:val="00753419"/>
    <w:rsid w:val="0075346C"/>
    <w:rsid w:val="007538ED"/>
    <w:rsid w:val="00753927"/>
    <w:rsid w:val="00753940"/>
    <w:rsid w:val="00753968"/>
    <w:rsid w:val="007539B9"/>
    <w:rsid w:val="00753B0F"/>
    <w:rsid w:val="00753E4C"/>
    <w:rsid w:val="00754007"/>
    <w:rsid w:val="00754143"/>
    <w:rsid w:val="0075415F"/>
    <w:rsid w:val="007543D9"/>
    <w:rsid w:val="00754436"/>
    <w:rsid w:val="007544C7"/>
    <w:rsid w:val="0075453E"/>
    <w:rsid w:val="00754644"/>
    <w:rsid w:val="00754660"/>
    <w:rsid w:val="00754773"/>
    <w:rsid w:val="007549DD"/>
    <w:rsid w:val="007549E6"/>
    <w:rsid w:val="00754BCC"/>
    <w:rsid w:val="00754DAA"/>
    <w:rsid w:val="00754EA0"/>
    <w:rsid w:val="00754F60"/>
    <w:rsid w:val="00755025"/>
    <w:rsid w:val="0075539F"/>
    <w:rsid w:val="00755905"/>
    <w:rsid w:val="00755C8F"/>
    <w:rsid w:val="00755CF1"/>
    <w:rsid w:val="00755F13"/>
    <w:rsid w:val="00756103"/>
    <w:rsid w:val="00756598"/>
    <w:rsid w:val="0075685D"/>
    <w:rsid w:val="00756982"/>
    <w:rsid w:val="007569E2"/>
    <w:rsid w:val="00756B52"/>
    <w:rsid w:val="00756BAD"/>
    <w:rsid w:val="00756DD0"/>
    <w:rsid w:val="00756F4E"/>
    <w:rsid w:val="00757350"/>
    <w:rsid w:val="00757544"/>
    <w:rsid w:val="007576E5"/>
    <w:rsid w:val="007577EB"/>
    <w:rsid w:val="0075789F"/>
    <w:rsid w:val="00757C3B"/>
    <w:rsid w:val="00757E75"/>
    <w:rsid w:val="0076011C"/>
    <w:rsid w:val="007605EC"/>
    <w:rsid w:val="00760773"/>
    <w:rsid w:val="00760E96"/>
    <w:rsid w:val="0076134B"/>
    <w:rsid w:val="00761616"/>
    <w:rsid w:val="00761654"/>
    <w:rsid w:val="00761EDA"/>
    <w:rsid w:val="0076214B"/>
    <w:rsid w:val="00762366"/>
    <w:rsid w:val="0076248D"/>
    <w:rsid w:val="007624F5"/>
    <w:rsid w:val="0076271D"/>
    <w:rsid w:val="0076288B"/>
    <w:rsid w:val="0076294C"/>
    <w:rsid w:val="00762B89"/>
    <w:rsid w:val="00762F26"/>
    <w:rsid w:val="007631B7"/>
    <w:rsid w:val="0076323F"/>
    <w:rsid w:val="0076334C"/>
    <w:rsid w:val="007637C8"/>
    <w:rsid w:val="007637E4"/>
    <w:rsid w:val="007640A4"/>
    <w:rsid w:val="0076415A"/>
    <w:rsid w:val="00764660"/>
    <w:rsid w:val="00764AEC"/>
    <w:rsid w:val="00764C25"/>
    <w:rsid w:val="00764CFD"/>
    <w:rsid w:val="00764DCE"/>
    <w:rsid w:val="00764ED7"/>
    <w:rsid w:val="00765223"/>
    <w:rsid w:val="0076524C"/>
    <w:rsid w:val="00765A8B"/>
    <w:rsid w:val="00765ADF"/>
    <w:rsid w:val="00765C94"/>
    <w:rsid w:val="00765CA2"/>
    <w:rsid w:val="00765E11"/>
    <w:rsid w:val="00765EFB"/>
    <w:rsid w:val="00765F16"/>
    <w:rsid w:val="007660FE"/>
    <w:rsid w:val="007663A8"/>
    <w:rsid w:val="007664CB"/>
    <w:rsid w:val="00766A09"/>
    <w:rsid w:val="00766DEF"/>
    <w:rsid w:val="00766FAB"/>
    <w:rsid w:val="007672C4"/>
    <w:rsid w:val="0076742F"/>
    <w:rsid w:val="00767430"/>
    <w:rsid w:val="00767480"/>
    <w:rsid w:val="00767557"/>
    <w:rsid w:val="007677E4"/>
    <w:rsid w:val="007679D7"/>
    <w:rsid w:val="00767C29"/>
    <w:rsid w:val="00767FD7"/>
    <w:rsid w:val="0077071C"/>
    <w:rsid w:val="00770BC3"/>
    <w:rsid w:val="007712AF"/>
    <w:rsid w:val="00771361"/>
    <w:rsid w:val="00771581"/>
    <w:rsid w:val="007716E6"/>
    <w:rsid w:val="0077175C"/>
    <w:rsid w:val="0077198C"/>
    <w:rsid w:val="00771B11"/>
    <w:rsid w:val="00771E59"/>
    <w:rsid w:val="00771F05"/>
    <w:rsid w:val="00771F32"/>
    <w:rsid w:val="00772105"/>
    <w:rsid w:val="007721BC"/>
    <w:rsid w:val="0077240B"/>
    <w:rsid w:val="0077256C"/>
    <w:rsid w:val="00772591"/>
    <w:rsid w:val="007727F0"/>
    <w:rsid w:val="00772AC1"/>
    <w:rsid w:val="00772BA2"/>
    <w:rsid w:val="00772F92"/>
    <w:rsid w:val="007730FE"/>
    <w:rsid w:val="007731AC"/>
    <w:rsid w:val="007731AD"/>
    <w:rsid w:val="007731F8"/>
    <w:rsid w:val="00773311"/>
    <w:rsid w:val="0077389B"/>
    <w:rsid w:val="00773909"/>
    <w:rsid w:val="00773A6C"/>
    <w:rsid w:val="00773AF9"/>
    <w:rsid w:val="00773B48"/>
    <w:rsid w:val="00773C16"/>
    <w:rsid w:val="00773E68"/>
    <w:rsid w:val="00774150"/>
    <w:rsid w:val="0077416F"/>
    <w:rsid w:val="0077427F"/>
    <w:rsid w:val="00774699"/>
    <w:rsid w:val="00774995"/>
    <w:rsid w:val="00774B23"/>
    <w:rsid w:val="00774C42"/>
    <w:rsid w:val="00774EB4"/>
    <w:rsid w:val="00774ECB"/>
    <w:rsid w:val="007750BB"/>
    <w:rsid w:val="00775135"/>
    <w:rsid w:val="007751BE"/>
    <w:rsid w:val="0077527F"/>
    <w:rsid w:val="0077536A"/>
    <w:rsid w:val="007753AA"/>
    <w:rsid w:val="007753E3"/>
    <w:rsid w:val="00775485"/>
    <w:rsid w:val="00775487"/>
    <w:rsid w:val="00775CE3"/>
    <w:rsid w:val="00775D16"/>
    <w:rsid w:val="00776072"/>
    <w:rsid w:val="00776081"/>
    <w:rsid w:val="0077609C"/>
    <w:rsid w:val="007760BA"/>
    <w:rsid w:val="0077644A"/>
    <w:rsid w:val="007764DB"/>
    <w:rsid w:val="0077665C"/>
    <w:rsid w:val="00776819"/>
    <w:rsid w:val="00776943"/>
    <w:rsid w:val="00776A75"/>
    <w:rsid w:val="00776B10"/>
    <w:rsid w:val="00776C81"/>
    <w:rsid w:val="00776DDE"/>
    <w:rsid w:val="00776E19"/>
    <w:rsid w:val="00776E1D"/>
    <w:rsid w:val="00776E46"/>
    <w:rsid w:val="00776F55"/>
    <w:rsid w:val="00777068"/>
    <w:rsid w:val="007770AA"/>
    <w:rsid w:val="007771BD"/>
    <w:rsid w:val="00777390"/>
    <w:rsid w:val="007773C4"/>
    <w:rsid w:val="007774D0"/>
    <w:rsid w:val="007779F3"/>
    <w:rsid w:val="00777AB9"/>
    <w:rsid w:val="00777E83"/>
    <w:rsid w:val="00777EE1"/>
    <w:rsid w:val="00777F3D"/>
    <w:rsid w:val="007800C2"/>
    <w:rsid w:val="00780234"/>
    <w:rsid w:val="00780391"/>
    <w:rsid w:val="007809AC"/>
    <w:rsid w:val="00781156"/>
    <w:rsid w:val="007813A1"/>
    <w:rsid w:val="00781491"/>
    <w:rsid w:val="007817B6"/>
    <w:rsid w:val="0078188C"/>
    <w:rsid w:val="00781A6D"/>
    <w:rsid w:val="00781D7E"/>
    <w:rsid w:val="00781FE9"/>
    <w:rsid w:val="00782203"/>
    <w:rsid w:val="0078227B"/>
    <w:rsid w:val="00782342"/>
    <w:rsid w:val="007828DA"/>
    <w:rsid w:val="00783034"/>
    <w:rsid w:val="0078346D"/>
    <w:rsid w:val="00783514"/>
    <w:rsid w:val="00784493"/>
    <w:rsid w:val="00784C3B"/>
    <w:rsid w:val="00784D2F"/>
    <w:rsid w:val="00784D5E"/>
    <w:rsid w:val="00784F62"/>
    <w:rsid w:val="00784FA7"/>
    <w:rsid w:val="00785168"/>
    <w:rsid w:val="007854FB"/>
    <w:rsid w:val="0078579F"/>
    <w:rsid w:val="00785BF5"/>
    <w:rsid w:val="00785C29"/>
    <w:rsid w:val="00785C9E"/>
    <w:rsid w:val="00785EB1"/>
    <w:rsid w:val="00785F0F"/>
    <w:rsid w:val="0078610E"/>
    <w:rsid w:val="0078619E"/>
    <w:rsid w:val="00786B3F"/>
    <w:rsid w:val="00786D14"/>
    <w:rsid w:val="00786D32"/>
    <w:rsid w:val="00786E1D"/>
    <w:rsid w:val="00787378"/>
    <w:rsid w:val="007873FB"/>
    <w:rsid w:val="0078752D"/>
    <w:rsid w:val="0078775D"/>
    <w:rsid w:val="007877B4"/>
    <w:rsid w:val="00787830"/>
    <w:rsid w:val="0078783E"/>
    <w:rsid w:val="007878B3"/>
    <w:rsid w:val="00787B64"/>
    <w:rsid w:val="00787C59"/>
    <w:rsid w:val="00787CBF"/>
    <w:rsid w:val="00787E76"/>
    <w:rsid w:val="00787F08"/>
    <w:rsid w:val="00787FD9"/>
    <w:rsid w:val="0079043C"/>
    <w:rsid w:val="007905DF"/>
    <w:rsid w:val="00790639"/>
    <w:rsid w:val="00790891"/>
    <w:rsid w:val="00790A6E"/>
    <w:rsid w:val="00790A75"/>
    <w:rsid w:val="00790BA3"/>
    <w:rsid w:val="00790C65"/>
    <w:rsid w:val="0079107A"/>
    <w:rsid w:val="007911C0"/>
    <w:rsid w:val="007913E0"/>
    <w:rsid w:val="00791424"/>
    <w:rsid w:val="00791433"/>
    <w:rsid w:val="007914CA"/>
    <w:rsid w:val="00791790"/>
    <w:rsid w:val="00791960"/>
    <w:rsid w:val="007919C8"/>
    <w:rsid w:val="00791C51"/>
    <w:rsid w:val="00791C5F"/>
    <w:rsid w:val="00791D14"/>
    <w:rsid w:val="00791DF5"/>
    <w:rsid w:val="00791F79"/>
    <w:rsid w:val="00791F7E"/>
    <w:rsid w:val="00792032"/>
    <w:rsid w:val="0079213F"/>
    <w:rsid w:val="00792246"/>
    <w:rsid w:val="00792324"/>
    <w:rsid w:val="007923B7"/>
    <w:rsid w:val="00792615"/>
    <w:rsid w:val="007927EA"/>
    <w:rsid w:val="007927F3"/>
    <w:rsid w:val="007929B3"/>
    <w:rsid w:val="00792CC8"/>
    <w:rsid w:val="00792D73"/>
    <w:rsid w:val="00792F05"/>
    <w:rsid w:val="00792F06"/>
    <w:rsid w:val="00793014"/>
    <w:rsid w:val="00793027"/>
    <w:rsid w:val="00793136"/>
    <w:rsid w:val="007934E5"/>
    <w:rsid w:val="00793688"/>
    <w:rsid w:val="00793954"/>
    <w:rsid w:val="00793AA8"/>
    <w:rsid w:val="00793C3D"/>
    <w:rsid w:val="00793D01"/>
    <w:rsid w:val="00793E26"/>
    <w:rsid w:val="00794490"/>
    <w:rsid w:val="0079457C"/>
    <w:rsid w:val="007945ED"/>
    <w:rsid w:val="007947ED"/>
    <w:rsid w:val="007948D6"/>
    <w:rsid w:val="00794BD9"/>
    <w:rsid w:val="00794CB5"/>
    <w:rsid w:val="00795077"/>
    <w:rsid w:val="007950DA"/>
    <w:rsid w:val="007952F0"/>
    <w:rsid w:val="007952F7"/>
    <w:rsid w:val="00795423"/>
    <w:rsid w:val="00795634"/>
    <w:rsid w:val="00795639"/>
    <w:rsid w:val="007956BA"/>
    <w:rsid w:val="00795BA4"/>
    <w:rsid w:val="00795CA9"/>
    <w:rsid w:val="00795EDC"/>
    <w:rsid w:val="0079609B"/>
    <w:rsid w:val="007962EF"/>
    <w:rsid w:val="00796448"/>
    <w:rsid w:val="0079648C"/>
    <w:rsid w:val="0079663A"/>
    <w:rsid w:val="00796BD2"/>
    <w:rsid w:val="00796CC4"/>
    <w:rsid w:val="00796FC5"/>
    <w:rsid w:val="00797297"/>
    <w:rsid w:val="0079736B"/>
    <w:rsid w:val="0079737D"/>
    <w:rsid w:val="007973E5"/>
    <w:rsid w:val="00797472"/>
    <w:rsid w:val="00797553"/>
    <w:rsid w:val="0079766B"/>
    <w:rsid w:val="00797B0E"/>
    <w:rsid w:val="00797C03"/>
    <w:rsid w:val="00797E05"/>
    <w:rsid w:val="007A02AC"/>
    <w:rsid w:val="007A0647"/>
    <w:rsid w:val="007A0651"/>
    <w:rsid w:val="007A0893"/>
    <w:rsid w:val="007A08D3"/>
    <w:rsid w:val="007A09E0"/>
    <w:rsid w:val="007A0B09"/>
    <w:rsid w:val="007A0D85"/>
    <w:rsid w:val="007A138D"/>
    <w:rsid w:val="007A15AC"/>
    <w:rsid w:val="007A19A1"/>
    <w:rsid w:val="007A19DB"/>
    <w:rsid w:val="007A1C71"/>
    <w:rsid w:val="007A1D1F"/>
    <w:rsid w:val="007A1F6A"/>
    <w:rsid w:val="007A2031"/>
    <w:rsid w:val="007A21C8"/>
    <w:rsid w:val="007A22BA"/>
    <w:rsid w:val="007A22E7"/>
    <w:rsid w:val="007A23EE"/>
    <w:rsid w:val="007A263C"/>
    <w:rsid w:val="007A2945"/>
    <w:rsid w:val="007A2954"/>
    <w:rsid w:val="007A2985"/>
    <w:rsid w:val="007A2C72"/>
    <w:rsid w:val="007A2C9C"/>
    <w:rsid w:val="007A2D9B"/>
    <w:rsid w:val="007A2E16"/>
    <w:rsid w:val="007A3214"/>
    <w:rsid w:val="007A3B30"/>
    <w:rsid w:val="007A404F"/>
    <w:rsid w:val="007A40A9"/>
    <w:rsid w:val="007A40C8"/>
    <w:rsid w:val="007A4104"/>
    <w:rsid w:val="007A467C"/>
    <w:rsid w:val="007A46D2"/>
    <w:rsid w:val="007A4D68"/>
    <w:rsid w:val="007A4F49"/>
    <w:rsid w:val="007A5AD6"/>
    <w:rsid w:val="007A5AF2"/>
    <w:rsid w:val="007A5D35"/>
    <w:rsid w:val="007A5DE0"/>
    <w:rsid w:val="007A6032"/>
    <w:rsid w:val="007A60A3"/>
    <w:rsid w:val="007A61F4"/>
    <w:rsid w:val="007A6353"/>
    <w:rsid w:val="007A654F"/>
    <w:rsid w:val="007A6639"/>
    <w:rsid w:val="007A6774"/>
    <w:rsid w:val="007A693A"/>
    <w:rsid w:val="007A6A67"/>
    <w:rsid w:val="007A6BC2"/>
    <w:rsid w:val="007A6BC4"/>
    <w:rsid w:val="007A6DE4"/>
    <w:rsid w:val="007A7129"/>
    <w:rsid w:val="007A71B0"/>
    <w:rsid w:val="007A71DA"/>
    <w:rsid w:val="007A72ED"/>
    <w:rsid w:val="007A7310"/>
    <w:rsid w:val="007A7771"/>
    <w:rsid w:val="007A77C9"/>
    <w:rsid w:val="007A7836"/>
    <w:rsid w:val="007A78CB"/>
    <w:rsid w:val="007A7CC1"/>
    <w:rsid w:val="007A7D2D"/>
    <w:rsid w:val="007A7E41"/>
    <w:rsid w:val="007A7E4F"/>
    <w:rsid w:val="007A7EC2"/>
    <w:rsid w:val="007A7FA7"/>
    <w:rsid w:val="007B00D0"/>
    <w:rsid w:val="007B0310"/>
    <w:rsid w:val="007B0484"/>
    <w:rsid w:val="007B0667"/>
    <w:rsid w:val="007B085D"/>
    <w:rsid w:val="007B0CDA"/>
    <w:rsid w:val="007B0D99"/>
    <w:rsid w:val="007B0E30"/>
    <w:rsid w:val="007B0F02"/>
    <w:rsid w:val="007B1090"/>
    <w:rsid w:val="007B10F0"/>
    <w:rsid w:val="007B118B"/>
    <w:rsid w:val="007B11C0"/>
    <w:rsid w:val="007B11E0"/>
    <w:rsid w:val="007B13F6"/>
    <w:rsid w:val="007B18D5"/>
    <w:rsid w:val="007B1A4E"/>
    <w:rsid w:val="007B1ADC"/>
    <w:rsid w:val="007B1B11"/>
    <w:rsid w:val="007B1F07"/>
    <w:rsid w:val="007B1F25"/>
    <w:rsid w:val="007B1F94"/>
    <w:rsid w:val="007B208A"/>
    <w:rsid w:val="007B215A"/>
    <w:rsid w:val="007B230E"/>
    <w:rsid w:val="007B233D"/>
    <w:rsid w:val="007B23DB"/>
    <w:rsid w:val="007B2551"/>
    <w:rsid w:val="007B2652"/>
    <w:rsid w:val="007B2728"/>
    <w:rsid w:val="007B272B"/>
    <w:rsid w:val="007B278A"/>
    <w:rsid w:val="007B29DF"/>
    <w:rsid w:val="007B2B58"/>
    <w:rsid w:val="007B2DA3"/>
    <w:rsid w:val="007B2E2C"/>
    <w:rsid w:val="007B2E60"/>
    <w:rsid w:val="007B2E9C"/>
    <w:rsid w:val="007B2FD2"/>
    <w:rsid w:val="007B30AD"/>
    <w:rsid w:val="007B3200"/>
    <w:rsid w:val="007B32EC"/>
    <w:rsid w:val="007B33FD"/>
    <w:rsid w:val="007B3436"/>
    <w:rsid w:val="007B37CD"/>
    <w:rsid w:val="007B37D6"/>
    <w:rsid w:val="007B3BF8"/>
    <w:rsid w:val="007B3C75"/>
    <w:rsid w:val="007B3D8C"/>
    <w:rsid w:val="007B3E19"/>
    <w:rsid w:val="007B3FFA"/>
    <w:rsid w:val="007B4275"/>
    <w:rsid w:val="007B46FF"/>
    <w:rsid w:val="007B4751"/>
    <w:rsid w:val="007B4C4D"/>
    <w:rsid w:val="007B4D38"/>
    <w:rsid w:val="007B5079"/>
    <w:rsid w:val="007B5172"/>
    <w:rsid w:val="007B5249"/>
    <w:rsid w:val="007B52AC"/>
    <w:rsid w:val="007B58A4"/>
    <w:rsid w:val="007B5B3E"/>
    <w:rsid w:val="007B5B80"/>
    <w:rsid w:val="007B5C45"/>
    <w:rsid w:val="007B5CF6"/>
    <w:rsid w:val="007B5E09"/>
    <w:rsid w:val="007B5F7C"/>
    <w:rsid w:val="007B6033"/>
    <w:rsid w:val="007B603E"/>
    <w:rsid w:val="007B6268"/>
    <w:rsid w:val="007B62E2"/>
    <w:rsid w:val="007B644E"/>
    <w:rsid w:val="007B65B5"/>
    <w:rsid w:val="007B66C4"/>
    <w:rsid w:val="007B66D9"/>
    <w:rsid w:val="007B69ED"/>
    <w:rsid w:val="007B6B70"/>
    <w:rsid w:val="007B6CE5"/>
    <w:rsid w:val="007B6D22"/>
    <w:rsid w:val="007B6F64"/>
    <w:rsid w:val="007B7497"/>
    <w:rsid w:val="007B75DB"/>
    <w:rsid w:val="007B75ED"/>
    <w:rsid w:val="007B7640"/>
    <w:rsid w:val="007B7B50"/>
    <w:rsid w:val="007B7D8C"/>
    <w:rsid w:val="007B7E98"/>
    <w:rsid w:val="007C02FC"/>
    <w:rsid w:val="007C0414"/>
    <w:rsid w:val="007C0783"/>
    <w:rsid w:val="007C0972"/>
    <w:rsid w:val="007C0D7F"/>
    <w:rsid w:val="007C1214"/>
    <w:rsid w:val="007C1437"/>
    <w:rsid w:val="007C15CC"/>
    <w:rsid w:val="007C1817"/>
    <w:rsid w:val="007C19C5"/>
    <w:rsid w:val="007C1E51"/>
    <w:rsid w:val="007C2249"/>
    <w:rsid w:val="007C24A7"/>
    <w:rsid w:val="007C2568"/>
    <w:rsid w:val="007C275C"/>
    <w:rsid w:val="007C29AE"/>
    <w:rsid w:val="007C29E9"/>
    <w:rsid w:val="007C2CED"/>
    <w:rsid w:val="007C2EED"/>
    <w:rsid w:val="007C32B5"/>
    <w:rsid w:val="007C3305"/>
    <w:rsid w:val="007C330C"/>
    <w:rsid w:val="007C33A9"/>
    <w:rsid w:val="007C3438"/>
    <w:rsid w:val="007C396B"/>
    <w:rsid w:val="007C3E15"/>
    <w:rsid w:val="007C400D"/>
    <w:rsid w:val="007C412C"/>
    <w:rsid w:val="007C4265"/>
    <w:rsid w:val="007C4356"/>
    <w:rsid w:val="007C43E6"/>
    <w:rsid w:val="007C4401"/>
    <w:rsid w:val="007C456B"/>
    <w:rsid w:val="007C45A1"/>
    <w:rsid w:val="007C488F"/>
    <w:rsid w:val="007C48AF"/>
    <w:rsid w:val="007C4A1D"/>
    <w:rsid w:val="007C4A24"/>
    <w:rsid w:val="007C4B47"/>
    <w:rsid w:val="007C5317"/>
    <w:rsid w:val="007C532E"/>
    <w:rsid w:val="007C5448"/>
    <w:rsid w:val="007C563F"/>
    <w:rsid w:val="007C57E8"/>
    <w:rsid w:val="007C5AB0"/>
    <w:rsid w:val="007C6443"/>
    <w:rsid w:val="007C6703"/>
    <w:rsid w:val="007C6833"/>
    <w:rsid w:val="007C6B32"/>
    <w:rsid w:val="007C6C1E"/>
    <w:rsid w:val="007C6D9E"/>
    <w:rsid w:val="007C718B"/>
    <w:rsid w:val="007C71A9"/>
    <w:rsid w:val="007C72B8"/>
    <w:rsid w:val="007C7582"/>
    <w:rsid w:val="007C759E"/>
    <w:rsid w:val="007C7614"/>
    <w:rsid w:val="007C7D21"/>
    <w:rsid w:val="007C7D69"/>
    <w:rsid w:val="007C7E7D"/>
    <w:rsid w:val="007C7F35"/>
    <w:rsid w:val="007D00BD"/>
    <w:rsid w:val="007D0144"/>
    <w:rsid w:val="007D01D4"/>
    <w:rsid w:val="007D0253"/>
    <w:rsid w:val="007D04B9"/>
    <w:rsid w:val="007D053E"/>
    <w:rsid w:val="007D056F"/>
    <w:rsid w:val="007D060E"/>
    <w:rsid w:val="007D076B"/>
    <w:rsid w:val="007D0B10"/>
    <w:rsid w:val="007D0B33"/>
    <w:rsid w:val="007D0B54"/>
    <w:rsid w:val="007D0C39"/>
    <w:rsid w:val="007D10C4"/>
    <w:rsid w:val="007D11FC"/>
    <w:rsid w:val="007D132E"/>
    <w:rsid w:val="007D1365"/>
    <w:rsid w:val="007D13CE"/>
    <w:rsid w:val="007D1453"/>
    <w:rsid w:val="007D158A"/>
    <w:rsid w:val="007D175F"/>
    <w:rsid w:val="007D1C08"/>
    <w:rsid w:val="007D209C"/>
    <w:rsid w:val="007D2117"/>
    <w:rsid w:val="007D2221"/>
    <w:rsid w:val="007D2318"/>
    <w:rsid w:val="007D255C"/>
    <w:rsid w:val="007D2666"/>
    <w:rsid w:val="007D26EC"/>
    <w:rsid w:val="007D2A9E"/>
    <w:rsid w:val="007D2B42"/>
    <w:rsid w:val="007D2CFC"/>
    <w:rsid w:val="007D33FD"/>
    <w:rsid w:val="007D348F"/>
    <w:rsid w:val="007D349A"/>
    <w:rsid w:val="007D3736"/>
    <w:rsid w:val="007D3815"/>
    <w:rsid w:val="007D38BF"/>
    <w:rsid w:val="007D3D92"/>
    <w:rsid w:val="007D3E12"/>
    <w:rsid w:val="007D3E1C"/>
    <w:rsid w:val="007D3E7C"/>
    <w:rsid w:val="007D43AB"/>
    <w:rsid w:val="007D4437"/>
    <w:rsid w:val="007D450E"/>
    <w:rsid w:val="007D4699"/>
    <w:rsid w:val="007D46C0"/>
    <w:rsid w:val="007D479C"/>
    <w:rsid w:val="007D4826"/>
    <w:rsid w:val="007D4A06"/>
    <w:rsid w:val="007D4C2F"/>
    <w:rsid w:val="007D4D6D"/>
    <w:rsid w:val="007D4E6F"/>
    <w:rsid w:val="007D5031"/>
    <w:rsid w:val="007D50E8"/>
    <w:rsid w:val="007D5142"/>
    <w:rsid w:val="007D51C2"/>
    <w:rsid w:val="007D5264"/>
    <w:rsid w:val="007D578A"/>
    <w:rsid w:val="007D5C85"/>
    <w:rsid w:val="007D5CD6"/>
    <w:rsid w:val="007D5D0E"/>
    <w:rsid w:val="007D5D57"/>
    <w:rsid w:val="007D5E48"/>
    <w:rsid w:val="007D606F"/>
    <w:rsid w:val="007D608B"/>
    <w:rsid w:val="007D62C0"/>
    <w:rsid w:val="007D6320"/>
    <w:rsid w:val="007D6352"/>
    <w:rsid w:val="007D63D2"/>
    <w:rsid w:val="007D64D3"/>
    <w:rsid w:val="007D68EF"/>
    <w:rsid w:val="007D6A2D"/>
    <w:rsid w:val="007D6A98"/>
    <w:rsid w:val="007D6AE2"/>
    <w:rsid w:val="007D6DA7"/>
    <w:rsid w:val="007D6F2D"/>
    <w:rsid w:val="007D70F8"/>
    <w:rsid w:val="007D738A"/>
    <w:rsid w:val="007D745F"/>
    <w:rsid w:val="007D77BA"/>
    <w:rsid w:val="007D790D"/>
    <w:rsid w:val="007D7B00"/>
    <w:rsid w:val="007D7C05"/>
    <w:rsid w:val="007D7C0D"/>
    <w:rsid w:val="007D7DB4"/>
    <w:rsid w:val="007D7FB3"/>
    <w:rsid w:val="007E002A"/>
    <w:rsid w:val="007E01C4"/>
    <w:rsid w:val="007E0365"/>
    <w:rsid w:val="007E0366"/>
    <w:rsid w:val="007E04AF"/>
    <w:rsid w:val="007E067F"/>
    <w:rsid w:val="007E07DD"/>
    <w:rsid w:val="007E09B3"/>
    <w:rsid w:val="007E0C5F"/>
    <w:rsid w:val="007E0D10"/>
    <w:rsid w:val="007E0F99"/>
    <w:rsid w:val="007E1553"/>
    <w:rsid w:val="007E1808"/>
    <w:rsid w:val="007E1875"/>
    <w:rsid w:val="007E187A"/>
    <w:rsid w:val="007E202C"/>
    <w:rsid w:val="007E2065"/>
    <w:rsid w:val="007E22B7"/>
    <w:rsid w:val="007E2563"/>
    <w:rsid w:val="007E2564"/>
    <w:rsid w:val="007E27EF"/>
    <w:rsid w:val="007E2E68"/>
    <w:rsid w:val="007E2EBE"/>
    <w:rsid w:val="007E32D2"/>
    <w:rsid w:val="007E3326"/>
    <w:rsid w:val="007E36CC"/>
    <w:rsid w:val="007E36F1"/>
    <w:rsid w:val="007E39A6"/>
    <w:rsid w:val="007E3BE4"/>
    <w:rsid w:val="007E3F12"/>
    <w:rsid w:val="007E3F3E"/>
    <w:rsid w:val="007E40A9"/>
    <w:rsid w:val="007E420C"/>
    <w:rsid w:val="007E4366"/>
    <w:rsid w:val="007E44E8"/>
    <w:rsid w:val="007E48AC"/>
    <w:rsid w:val="007E4BB5"/>
    <w:rsid w:val="007E4D74"/>
    <w:rsid w:val="007E4E0B"/>
    <w:rsid w:val="007E4E0F"/>
    <w:rsid w:val="007E4E5B"/>
    <w:rsid w:val="007E4F92"/>
    <w:rsid w:val="007E52A8"/>
    <w:rsid w:val="007E535B"/>
    <w:rsid w:val="007E56C9"/>
    <w:rsid w:val="007E5767"/>
    <w:rsid w:val="007E5B15"/>
    <w:rsid w:val="007E5C51"/>
    <w:rsid w:val="007E5C64"/>
    <w:rsid w:val="007E5E1D"/>
    <w:rsid w:val="007E62A7"/>
    <w:rsid w:val="007E6679"/>
    <w:rsid w:val="007E682D"/>
    <w:rsid w:val="007E6913"/>
    <w:rsid w:val="007E6928"/>
    <w:rsid w:val="007E6AFB"/>
    <w:rsid w:val="007E6D88"/>
    <w:rsid w:val="007E6DB4"/>
    <w:rsid w:val="007E6F69"/>
    <w:rsid w:val="007E7692"/>
    <w:rsid w:val="007E78F2"/>
    <w:rsid w:val="007E7D1F"/>
    <w:rsid w:val="007F021D"/>
    <w:rsid w:val="007F025C"/>
    <w:rsid w:val="007F05A4"/>
    <w:rsid w:val="007F0731"/>
    <w:rsid w:val="007F07F9"/>
    <w:rsid w:val="007F0B1D"/>
    <w:rsid w:val="007F0D51"/>
    <w:rsid w:val="007F0DCD"/>
    <w:rsid w:val="007F0DE5"/>
    <w:rsid w:val="007F113E"/>
    <w:rsid w:val="007F1572"/>
    <w:rsid w:val="007F166D"/>
    <w:rsid w:val="007F184A"/>
    <w:rsid w:val="007F1A3F"/>
    <w:rsid w:val="007F1A5A"/>
    <w:rsid w:val="007F1EBE"/>
    <w:rsid w:val="007F1EEC"/>
    <w:rsid w:val="007F1F2A"/>
    <w:rsid w:val="007F1FE5"/>
    <w:rsid w:val="007F2006"/>
    <w:rsid w:val="007F210E"/>
    <w:rsid w:val="007F2377"/>
    <w:rsid w:val="007F23A9"/>
    <w:rsid w:val="007F23C5"/>
    <w:rsid w:val="007F25F3"/>
    <w:rsid w:val="007F2678"/>
    <w:rsid w:val="007F28F9"/>
    <w:rsid w:val="007F290A"/>
    <w:rsid w:val="007F2AA7"/>
    <w:rsid w:val="007F2BE0"/>
    <w:rsid w:val="007F2E34"/>
    <w:rsid w:val="007F3010"/>
    <w:rsid w:val="007F3033"/>
    <w:rsid w:val="007F350A"/>
    <w:rsid w:val="007F3635"/>
    <w:rsid w:val="007F36E3"/>
    <w:rsid w:val="007F37C3"/>
    <w:rsid w:val="007F38D9"/>
    <w:rsid w:val="007F39DD"/>
    <w:rsid w:val="007F3A78"/>
    <w:rsid w:val="007F3AD0"/>
    <w:rsid w:val="007F3B63"/>
    <w:rsid w:val="007F3BA5"/>
    <w:rsid w:val="007F3BB4"/>
    <w:rsid w:val="007F3D92"/>
    <w:rsid w:val="007F41CF"/>
    <w:rsid w:val="007F4400"/>
    <w:rsid w:val="007F443C"/>
    <w:rsid w:val="007F4587"/>
    <w:rsid w:val="007F47C1"/>
    <w:rsid w:val="007F4CA4"/>
    <w:rsid w:val="007F4E20"/>
    <w:rsid w:val="007F4E6C"/>
    <w:rsid w:val="007F4F1F"/>
    <w:rsid w:val="007F5002"/>
    <w:rsid w:val="007F524D"/>
    <w:rsid w:val="007F54A4"/>
    <w:rsid w:val="007F56D9"/>
    <w:rsid w:val="007F5B38"/>
    <w:rsid w:val="007F5C9B"/>
    <w:rsid w:val="007F662E"/>
    <w:rsid w:val="007F6781"/>
    <w:rsid w:val="007F6A54"/>
    <w:rsid w:val="007F6DFF"/>
    <w:rsid w:val="007F7106"/>
    <w:rsid w:val="007F7573"/>
    <w:rsid w:val="007F75DA"/>
    <w:rsid w:val="007F772C"/>
    <w:rsid w:val="007F786D"/>
    <w:rsid w:val="007F78F1"/>
    <w:rsid w:val="007F79DD"/>
    <w:rsid w:val="007F7B33"/>
    <w:rsid w:val="007F7B58"/>
    <w:rsid w:val="007F7C2A"/>
    <w:rsid w:val="007F7D76"/>
    <w:rsid w:val="007F7EB1"/>
    <w:rsid w:val="0080030F"/>
    <w:rsid w:val="00800358"/>
    <w:rsid w:val="008005D3"/>
    <w:rsid w:val="00800637"/>
    <w:rsid w:val="008006E4"/>
    <w:rsid w:val="00800976"/>
    <w:rsid w:val="00800F0C"/>
    <w:rsid w:val="008010CA"/>
    <w:rsid w:val="00801346"/>
    <w:rsid w:val="00801451"/>
    <w:rsid w:val="00801586"/>
    <w:rsid w:val="00801723"/>
    <w:rsid w:val="008017EB"/>
    <w:rsid w:val="008017ED"/>
    <w:rsid w:val="00801908"/>
    <w:rsid w:val="008019C7"/>
    <w:rsid w:val="00801B72"/>
    <w:rsid w:val="00801EDF"/>
    <w:rsid w:val="00801FB2"/>
    <w:rsid w:val="00802240"/>
    <w:rsid w:val="0080251C"/>
    <w:rsid w:val="00802606"/>
    <w:rsid w:val="008027B7"/>
    <w:rsid w:val="0080299E"/>
    <w:rsid w:val="00802C76"/>
    <w:rsid w:val="0080311A"/>
    <w:rsid w:val="00803225"/>
    <w:rsid w:val="008032A1"/>
    <w:rsid w:val="00803384"/>
    <w:rsid w:val="0080397F"/>
    <w:rsid w:val="00803A9F"/>
    <w:rsid w:val="00803C71"/>
    <w:rsid w:val="00803E89"/>
    <w:rsid w:val="00803EB7"/>
    <w:rsid w:val="008041D4"/>
    <w:rsid w:val="008042B4"/>
    <w:rsid w:val="008048A3"/>
    <w:rsid w:val="00804CDE"/>
    <w:rsid w:val="00804D81"/>
    <w:rsid w:val="00804DF8"/>
    <w:rsid w:val="0080530D"/>
    <w:rsid w:val="00805454"/>
    <w:rsid w:val="00805A5E"/>
    <w:rsid w:val="00805B0F"/>
    <w:rsid w:val="00805D56"/>
    <w:rsid w:val="00805F99"/>
    <w:rsid w:val="0080603B"/>
    <w:rsid w:val="008062B0"/>
    <w:rsid w:val="008065B2"/>
    <w:rsid w:val="0080684A"/>
    <w:rsid w:val="00806918"/>
    <w:rsid w:val="00806BAE"/>
    <w:rsid w:val="00806D22"/>
    <w:rsid w:val="00806E3F"/>
    <w:rsid w:val="00806F43"/>
    <w:rsid w:val="00806F8D"/>
    <w:rsid w:val="00807357"/>
    <w:rsid w:val="00807640"/>
    <w:rsid w:val="00807C6F"/>
    <w:rsid w:val="00807DF2"/>
    <w:rsid w:val="00807FD4"/>
    <w:rsid w:val="00810461"/>
    <w:rsid w:val="00810712"/>
    <w:rsid w:val="0081080A"/>
    <w:rsid w:val="0081087F"/>
    <w:rsid w:val="008108A2"/>
    <w:rsid w:val="008108B5"/>
    <w:rsid w:val="00810EA3"/>
    <w:rsid w:val="00811233"/>
    <w:rsid w:val="0081134B"/>
    <w:rsid w:val="008113BD"/>
    <w:rsid w:val="0081140E"/>
    <w:rsid w:val="0081180D"/>
    <w:rsid w:val="00811985"/>
    <w:rsid w:val="00811988"/>
    <w:rsid w:val="0081199A"/>
    <w:rsid w:val="00811C5F"/>
    <w:rsid w:val="00811D1F"/>
    <w:rsid w:val="00811D8F"/>
    <w:rsid w:val="00812115"/>
    <w:rsid w:val="00812252"/>
    <w:rsid w:val="008122AC"/>
    <w:rsid w:val="00812477"/>
    <w:rsid w:val="00812675"/>
    <w:rsid w:val="0081290F"/>
    <w:rsid w:val="00812933"/>
    <w:rsid w:val="00812ABF"/>
    <w:rsid w:val="00812BB2"/>
    <w:rsid w:val="008131B0"/>
    <w:rsid w:val="0081344D"/>
    <w:rsid w:val="008134D3"/>
    <w:rsid w:val="008135AF"/>
    <w:rsid w:val="008139B7"/>
    <w:rsid w:val="00813A56"/>
    <w:rsid w:val="00813AA9"/>
    <w:rsid w:val="00813E7C"/>
    <w:rsid w:val="0081405B"/>
    <w:rsid w:val="0081412F"/>
    <w:rsid w:val="00814445"/>
    <w:rsid w:val="0081450C"/>
    <w:rsid w:val="00814533"/>
    <w:rsid w:val="008146F7"/>
    <w:rsid w:val="00814C92"/>
    <w:rsid w:val="00814FC1"/>
    <w:rsid w:val="00815300"/>
    <w:rsid w:val="008153FF"/>
    <w:rsid w:val="0081550A"/>
    <w:rsid w:val="008156E1"/>
    <w:rsid w:val="00815727"/>
    <w:rsid w:val="00815916"/>
    <w:rsid w:val="00815938"/>
    <w:rsid w:val="0081597C"/>
    <w:rsid w:val="00815A07"/>
    <w:rsid w:val="00815BD4"/>
    <w:rsid w:val="00815D0C"/>
    <w:rsid w:val="00815DC6"/>
    <w:rsid w:val="0081614A"/>
    <w:rsid w:val="0081636B"/>
    <w:rsid w:val="00816594"/>
    <w:rsid w:val="008166A3"/>
    <w:rsid w:val="0081693A"/>
    <w:rsid w:val="00816A3A"/>
    <w:rsid w:val="00816B8E"/>
    <w:rsid w:val="00816C8B"/>
    <w:rsid w:val="00816E59"/>
    <w:rsid w:val="00816F56"/>
    <w:rsid w:val="008173D1"/>
    <w:rsid w:val="0081767E"/>
    <w:rsid w:val="008176D7"/>
    <w:rsid w:val="008176E0"/>
    <w:rsid w:val="008177E6"/>
    <w:rsid w:val="00817852"/>
    <w:rsid w:val="00817C58"/>
    <w:rsid w:val="00817C90"/>
    <w:rsid w:val="008204FE"/>
    <w:rsid w:val="0082051B"/>
    <w:rsid w:val="00820686"/>
    <w:rsid w:val="00820723"/>
    <w:rsid w:val="0082072C"/>
    <w:rsid w:val="00820D6F"/>
    <w:rsid w:val="00821065"/>
    <w:rsid w:val="008210E5"/>
    <w:rsid w:val="008218D4"/>
    <w:rsid w:val="0082199D"/>
    <w:rsid w:val="00821AD0"/>
    <w:rsid w:val="00821B71"/>
    <w:rsid w:val="00821C19"/>
    <w:rsid w:val="00821C65"/>
    <w:rsid w:val="00821CE4"/>
    <w:rsid w:val="00821EDB"/>
    <w:rsid w:val="00821FAA"/>
    <w:rsid w:val="00821FF0"/>
    <w:rsid w:val="00822459"/>
    <w:rsid w:val="008224B4"/>
    <w:rsid w:val="00822632"/>
    <w:rsid w:val="00822692"/>
    <w:rsid w:val="00822769"/>
    <w:rsid w:val="0082293B"/>
    <w:rsid w:val="0082294D"/>
    <w:rsid w:val="00822B18"/>
    <w:rsid w:val="00822E9D"/>
    <w:rsid w:val="008233CE"/>
    <w:rsid w:val="008234C5"/>
    <w:rsid w:val="008236B9"/>
    <w:rsid w:val="008238C2"/>
    <w:rsid w:val="00823911"/>
    <w:rsid w:val="00823AEB"/>
    <w:rsid w:val="00823BFF"/>
    <w:rsid w:val="00823C00"/>
    <w:rsid w:val="00823D6E"/>
    <w:rsid w:val="00824107"/>
    <w:rsid w:val="00824614"/>
    <w:rsid w:val="00824622"/>
    <w:rsid w:val="00824D9E"/>
    <w:rsid w:val="0082516E"/>
    <w:rsid w:val="00825337"/>
    <w:rsid w:val="00825463"/>
    <w:rsid w:val="00825619"/>
    <w:rsid w:val="00825671"/>
    <w:rsid w:val="00825696"/>
    <w:rsid w:val="00825A3B"/>
    <w:rsid w:val="00825A8F"/>
    <w:rsid w:val="00825AF6"/>
    <w:rsid w:val="00825CA6"/>
    <w:rsid w:val="00825EFB"/>
    <w:rsid w:val="008261BD"/>
    <w:rsid w:val="00826434"/>
    <w:rsid w:val="00826657"/>
    <w:rsid w:val="00826684"/>
    <w:rsid w:val="00826844"/>
    <w:rsid w:val="00826885"/>
    <w:rsid w:val="00826BB7"/>
    <w:rsid w:val="00826C49"/>
    <w:rsid w:val="00826CE5"/>
    <w:rsid w:val="00826DF8"/>
    <w:rsid w:val="00826FBB"/>
    <w:rsid w:val="008271B3"/>
    <w:rsid w:val="00827276"/>
    <w:rsid w:val="008275F4"/>
    <w:rsid w:val="008276F3"/>
    <w:rsid w:val="008278AA"/>
    <w:rsid w:val="00827B8F"/>
    <w:rsid w:val="00827F63"/>
    <w:rsid w:val="00827FD1"/>
    <w:rsid w:val="0083004D"/>
    <w:rsid w:val="00830398"/>
    <w:rsid w:val="008304F1"/>
    <w:rsid w:val="0083068A"/>
    <w:rsid w:val="00830692"/>
    <w:rsid w:val="008309E1"/>
    <w:rsid w:val="00830A9F"/>
    <w:rsid w:val="00830BC4"/>
    <w:rsid w:val="00830BCD"/>
    <w:rsid w:val="0083101A"/>
    <w:rsid w:val="0083107A"/>
    <w:rsid w:val="00831274"/>
    <w:rsid w:val="00831276"/>
    <w:rsid w:val="008312B3"/>
    <w:rsid w:val="008313C6"/>
    <w:rsid w:val="008315C9"/>
    <w:rsid w:val="00831701"/>
    <w:rsid w:val="008317E2"/>
    <w:rsid w:val="00831C0E"/>
    <w:rsid w:val="00831C51"/>
    <w:rsid w:val="00831D8D"/>
    <w:rsid w:val="00831F41"/>
    <w:rsid w:val="008327A0"/>
    <w:rsid w:val="00832878"/>
    <w:rsid w:val="00832DC1"/>
    <w:rsid w:val="00832DEE"/>
    <w:rsid w:val="00832FBF"/>
    <w:rsid w:val="008330CC"/>
    <w:rsid w:val="0083318F"/>
    <w:rsid w:val="00833518"/>
    <w:rsid w:val="008335C1"/>
    <w:rsid w:val="00833729"/>
    <w:rsid w:val="00833D21"/>
    <w:rsid w:val="00833DDD"/>
    <w:rsid w:val="008349DE"/>
    <w:rsid w:val="00834ABB"/>
    <w:rsid w:val="00834C5F"/>
    <w:rsid w:val="00834E73"/>
    <w:rsid w:val="00834F66"/>
    <w:rsid w:val="00835081"/>
    <w:rsid w:val="0083509C"/>
    <w:rsid w:val="008350A8"/>
    <w:rsid w:val="008350BE"/>
    <w:rsid w:val="008351A9"/>
    <w:rsid w:val="0083536C"/>
    <w:rsid w:val="008353F9"/>
    <w:rsid w:val="008353FB"/>
    <w:rsid w:val="00835535"/>
    <w:rsid w:val="008356EA"/>
    <w:rsid w:val="00835A34"/>
    <w:rsid w:val="00835C15"/>
    <w:rsid w:val="00835C9E"/>
    <w:rsid w:val="00836203"/>
    <w:rsid w:val="008362C7"/>
    <w:rsid w:val="00836345"/>
    <w:rsid w:val="00836540"/>
    <w:rsid w:val="00836859"/>
    <w:rsid w:val="00836EAF"/>
    <w:rsid w:val="00836F16"/>
    <w:rsid w:val="00837127"/>
    <w:rsid w:val="008371D5"/>
    <w:rsid w:val="00837205"/>
    <w:rsid w:val="008373C2"/>
    <w:rsid w:val="00837727"/>
    <w:rsid w:val="00837AB2"/>
    <w:rsid w:val="00837E9D"/>
    <w:rsid w:val="00837FFC"/>
    <w:rsid w:val="0084019E"/>
    <w:rsid w:val="0084021E"/>
    <w:rsid w:val="008405DC"/>
    <w:rsid w:val="0084088F"/>
    <w:rsid w:val="00840BA1"/>
    <w:rsid w:val="008410C6"/>
    <w:rsid w:val="008410D6"/>
    <w:rsid w:val="0084136A"/>
    <w:rsid w:val="00841624"/>
    <w:rsid w:val="008416BF"/>
    <w:rsid w:val="00841770"/>
    <w:rsid w:val="00841A95"/>
    <w:rsid w:val="00841C4B"/>
    <w:rsid w:val="0084204B"/>
    <w:rsid w:val="0084234C"/>
    <w:rsid w:val="0084250F"/>
    <w:rsid w:val="008425E6"/>
    <w:rsid w:val="008426B8"/>
    <w:rsid w:val="00842BB7"/>
    <w:rsid w:val="0084312E"/>
    <w:rsid w:val="008432C5"/>
    <w:rsid w:val="008435B0"/>
    <w:rsid w:val="00843AB5"/>
    <w:rsid w:val="00843B7A"/>
    <w:rsid w:val="00843DD4"/>
    <w:rsid w:val="00843EF7"/>
    <w:rsid w:val="00843F04"/>
    <w:rsid w:val="00844015"/>
    <w:rsid w:val="008441B2"/>
    <w:rsid w:val="008441F8"/>
    <w:rsid w:val="008444C4"/>
    <w:rsid w:val="008447A7"/>
    <w:rsid w:val="00844D8E"/>
    <w:rsid w:val="00844DF5"/>
    <w:rsid w:val="00844ED0"/>
    <w:rsid w:val="00844F36"/>
    <w:rsid w:val="008452AD"/>
    <w:rsid w:val="0084546A"/>
    <w:rsid w:val="008455D5"/>
    <w:rsid w:val="00845875"/>
    <w:rsid w:val="00845958"/>
    <w:rsid w:val="00845A0B"/>
    <w:rsid w:val="00845E66"/>
    <w:rsid w:val="0084611B"/>
    <w:rsid w:val="00846237"/>
    <w:rsid w:val="008462C0"/>
    <w:rsid w:val="00846663"/>
    <w:rsid w:val="008469C1"/>
    <w:rsid w:val="00846A87"/>
    <w:rsid w:val="00846B27"/>
    <w:rsid w:val="00846CAA"/>
    <w:rsid w:val="00846CE7"/>
    <w:rsid w:val="008470CF"/>
    <w:rsid w:val="0084714A"/>
    <w:rsid w:val="00847161"/>
    <w:rsid w:val="0084716D"/>
    <w:rsid w:val="008474AD"/>
    <w:rsid w:val="0084759E"/>
    <w:rsid w:val="00847727"/>
    <w:rsid w:val="00847905"/>
    <w:rsid w:val="00847DA7"/>
    <w:rsid w:val="00847DE2"/>
    <w:rsid w:val="00847E32"/>
    <w:rsid w:val="00850333"/>
    <w:rsid w:val="008503E4"/>
    <w:rsid w:val="008503E6"/>
    <w:rsid w:val="008506BF"/>
    <w:rsid w:val="00850A91"/>
    <w:rsid w:val="00850ADB"/>
    <w:rsid w:val="00850AFF"/>
    <w:rsid w:val="00850F90"/>
    <w:rsid w:val="00850FD6"/>
    <w:rsid w:val="008512DE"/>
    <w:rsid w:val="00851362"/>
    <w:rsid w:val="008518F7"/>
    <w:rsid w:val="00851BB5"/>
    <w:rsid w:val="00851F02"/>
    <w:rsid w:val="00851F11"/>
    <w:rsid w:val="00852074"/>
    <w:rsid w:val="0085231D"/>
    <w:rsid w:val="00852359"/>
    <w:rsid w:val="008524BC"/>
    <w:rsid w:val="008524F9"/>
    <w:rsid w:val="00852882"/>
    <w:rsid w:val="0085291B"/>
    <w:rsid w:val="00852CA3"/>
    <w:rsid w:val="00852E4B"/>
    <w:rsid w:val="00853000"/>
    <w:rsid w:val="0085337C"/>
    <w:rsid w:val="00853850"/>
    <w:rsid w:val="008538D1"/>
    <w:rsid w:val="00853913"/>
    <w:rsid w:val="00853BF6"/>
    <w:rsid w:val="00853D14"/>
    <w:rsid w:val="00853FFE"/>
    <w:rsid w:val="008540AE"/>
    <w:rsid w:val="008540DC"/>
    <w:rsid w:val="0085428C"/>
    <w:rsid w:val="008542EE"/>
    <w:rsid w:val="00854479"/>
    <w:rsid w:val="00854491"/>
    <w:rsid w:val="008544A1"/>
    <w:rsid w:val="008545B5"/>
    <w:rsid w:val="0085462D"/>
    <w:rsid w:val="008546B9"/>
    <w:rsid w:val="008547DC"/>
    <w:rsid w:val="00854835"/>
    <w:rsid w:val="00854D86"/>
    <w:rsid w:val="00854E59"/>
    <w:rsid w:val="00855369"/>
    <w:rsid w:val="0085567F"/>
    <w:rsid w:val="008560CD"/>
    <w:rsid w:val="008560D8"/>
    <w:rsid w:val="008561AC"/>
    <w:rsid w:val="0085641B"/>
    <w:rsid w:val="00856457"/>
    <w:rsid w:val="00856486"/>
    <w:rsid w:val="008564AB"/>
    <w:rsid w:val="00856558"/>
    <w:rsid w:val="00856898"/>
    <w:rsid w:val="0085689E"/>
    <w:rsid w:val="008568EE"/>
    <w:rsid w:val="00856A48"/>
    <w:rsid w:val="00856BB5"/>
    <w:rsid w:val="00856BF9"/>
    <w:rsid w:val="00856CEA"/>
    <w:rsid w:val="00856EED"/>
    <w:rsid w:val="00857321"/>
    <w:rsid w:val="008574FB"/>
    <w:rsid w:val="0085777C"/>
    <w:rsid w:val="00857783"/>
    <w:rsid w:val="008578EE"/>
    <w:rsid w:val="00857B02"/>
    <w:rsid w:val="0086000A"/>
    <w:rsid w:val="008602B4"/>
    <w:rsid w:val="0086049C"/>
    <w:rsid w:val="00860500"/>
    <w:rsid w:val="00860544"/>
    <w:rsid w:val="008605B1"/>
    <w:rsid w:val="00860A38"/>
    <w:rsid w:val="00860A40"/>
    <w:rsid w:val="00860AEC"/>
    <w:rsid w:val="00860F9E"/>
    <w:rsid w:val="008611CC"/>
    <w:rsid w:val="0086123D"/>
    <w:rsid w:val="0086155C"/>
    <w:rsid w:val="00861642"/>
    <w:rsid w:val="00862403"/>
    <w:rsid w:val="00862431"/>
    <w:rsid w:val="008624A1"/>
    <w:rsid w:val="008624C0"/>
    <w:rsid w:val="0086278D"/>
    <w:rsid w:val="008628A5"/>
    <w:rsid w:val="00862A5E"/>
    <w:rsid w:val="00862B5B"/>
    <w:rsid w:val="00862E30"/>
    <w:rsid w:val="00862EC3"/>
    <w:rsid w:val="008631CF"/>
    <w:rsid w:val="008632A2"/>
    <w:rsid w:val="00863430"/>
    <w:rsid w:val="00863BCC"/>
    <w:rsid w:val="008642C9"/>
    <w:rsid w:val="0086431E"/>
    <w:rsid w:val="008644B8"/>
    <w:rsid w:val="00864678"/>
    <w:rsid w:val="00864968"/>
    <w:rsid w:val="00864BF7"/>
    <w:rsid w:val="00864D69"/>
    <w:rsid w:val="00864FCF"/>
    <w:rsid w:val="00864FDD"/>
    <w:rsid w:val="00864FFA"/>
    <w:rsid w:val="008653B5"/>
    <w:rsid w:val="00865544"/>
    <w:rsid w:val="00865681"/>
    <w:rsid w:val="0086571D"/>
    <w:rsid w:val="008659A0"/>
    <w:rsid w:val="008659AD"/>
    <w:rsid w:val="008659E3"/>
    <w:rsid w:val="00865A08"/>
    <w:rsid w:val="00865F23"/>
    <w:rsid w:val="008661CE"/>
    <w:rsid w:val="008661D4"/>
    <w:rsid w:val="0086623F"/>
    <w:rsid w:val="008662A3"/>
    <w:rsid w:val="00866594"/>
    <w:rsid w:val="0086673A"/>
    <w:rsid w:val="00866761"/>
    <w:rsid w:val="008667D6"/>
    <w:rsid w:val="00866905"/>
    <w:rsid w:val="00866AF3"/>
    <w:rsid w:val="00866BA6"/>
    <w:rsid w:val="00866C0D"/>
    <w:rsid w:val="008672D5"/>
    <w:rsid w:val="00867306"/>
    <w:rsid w:val="008677A2"/>
    <w:rsid w:val="008677FD"/>
    <w:rsid w:val="00867886"/>
    <w:rsid w:val="00867A76"/>
    <w:rsid w:val="00867E8C"/>
    <w:rsid w:val="00867ED0"/>
    <w:rsid w:val="00867F04"/>
    <w:rsid w:val="00867FD7"/>
    <w:rsid w:val="008703F0"/>
    <w:rsid w:val="0087040E"/>
    <w:rsid w:val="00870805"/>
    <w:rsid w:val="00870899"/>
    <w:rsid w:val="00870953"/>
    <w:rsid w:val="00871294"/>
    <w:rsid w:val="0087134E"/>
    <w:rsid w:val="008714D6"/>
    <w:rsid w:val="00871838"/>
    <w:rsid w:val="00871CFB"/>
    <w:rsid w:val="00871DC5"/>
    <w:rsid w:val="00871EA3"/>
    <w:rsid w:val="00872147"/>
    <w:rsid w:val="00872160"/>
    <w:rsid w:val="0087267A"/>
    <w:rsid w:val="008728D3"/>
    <w:rsid w:val="0087290E"/>
    <w:rsid w:val="0087293C"/>
    <w:rsid w:val="00872977"/>
    <w:rsid w:val="00872A4D"/>
    <w:rsid w:val="00872D7A"/>
    <w:rsid w:val="00872FB1"/>
    <w:rsid w:val="008730F5"/>
    <w:rsid w:val="00873A97"/>
    <w:rsid w:val="00873B23"/>
    <w:rsid w:val="00873B2E"/>
    <w:rsid w:val="00873F8F"/>
    <w:rsid w:val="00874392"/>
    <w:rsid w:val="008744C6"/>
    <w:rsid w:val="008745D0"/>
    <w:rsid w:val="00874959"/>
    <w:rsid w:val="00874989"/>
    <w:rsid w:val="008749A7"/>
    <w:rsid w:val="008749F3"/>
    <w:rsid w:val="00874CF6"/>
    <w:rsid w:val="00874DB6"/>
    <w:rsid w:val="00875068"/>
    <w:rsid w:val="00875127"/>
    <w:rsid w:val="0087542F"/>
    <w:rsid w:val="00875455"/>
    <w:rsid w:val="008758CB"/>
    <w:rsid w:val="00875A19"/>
    <w:rsid w:val="00875E7D"/>
    <w:rsid w:val="00876311"/>
    <w:rsid w:val="00876492"/>
    <w:rsid w:val="008764DF"/>
    <w:rsid w:val="008768EE"/>
    <w:rsid w:val="00876DBB"/>
    <w:rsid w:val="00876E3C"/>
    <w:rsid w:val="00876EDB"/>
    <w:rsid w:val="00877156"/>
    <w:rsid w:val="00877288"/>
    <w:rsid w:val="00877360"/>
    <w:rsid w:val="00877554"/>
    <w:rsid w:val="008776D3"/>
    <w:rsid w:val="00877720"/>
    <w:rsid w:val="008777CE"/>
    <w:rsid w:val="00877FDD"/>
    <w:rsid w:val="00880046"/>
    <w:rsid w:val="008804AC"/>
    <w:rsid w:val="00880C90"/>
    <w:rsid w:val="00880E09"/>
    <w:rsid w:val="008812C5"/>
    <w:rsid w:val="0088140E"/>
    <w:rsid w:val="00881458"/>
    <w:rsid w:val="0088145E"/>
    <w:rsid w:val="0088160D"/>
    <w:rsid w:val="00881655"/>
    <w:rsid w:val="00881A59"/>
    <w:rsid w:val="00881BC5"/>
    <w:rsid w:val="00881CE3"/>
    <w:rsid w:val="00881D39"/>
    <w:rsid w:val="00881DE6"/>
    <w:rsid w:val="00881FAF"/>
    <w:rsid w:val="008821A3"/>
    <w:rsid w:val="008822D0"/>
    <w:rsid w:val="008826B7"/>
    <w:rsid w:val="008826CD"/>
    <w:rsid w:val="008828A2"/>
    <w:rsid w:val="00882DAE"/>
    <w:rsid w:val="00883023"/>
    <w:rsid w:val="0088307B"/>
    <w:rsid w:val="00883107"/>
    <w:rsid w:val="008832B7"/>
    <w:rsid w:val="00883357"/>
    <w:rsid w:val="00883443"/>
    <w:rsid w:val="008834ED"/>
    <w:rsid w:val="008834F4"/>
    <w:rsid w:val="008835A4"/>
    <w:rsid w:val="00883C32"/>
    <w:rsid w:val="00883C6B"/>
    <w:rsid w:val="0088405C"/>
    <w:rsid w:val="008840CD"/>
    <w:rsid w:val="008840D2"/>
    <w:rsid w:val="008841FB"/>
    <w:rsid w:val="00884819"/>
    <w:rsid w:val="008848E7"/>
    <w:rsid w:val="0088493E"/>
    <w:rsid w:val="00884B75"/>
    <w:rsid w:val="00884E11"/>
    <w:rsid w:val="00885212"/>
    <w:rsid w:val="0088532C"/>
    <w:rsid w:val="00885379"/>
    <w:rsid w:val="008853D1"/>
    <w:rsid w:val="008854EB"/>
    <w:rsid w:val="008855E7"/>
    <w:rsid w:val="008857D3"/>
    <w:rsid w:val="00885CA6"/>
    <w:rsid w:val="00885EAA"/>
    <w:rsid w:val="00885EFB"/>
    <w:rsid w:val="00885FD2"/>
    <w:rsid w:val="0088613A"/>
    <w:rsid w:val="0088614D"/>
    <w:rsid w:val="00886730"/>
    <w:rsid w:val="008868FC"/>
    <w:rsid w:val="00886A64"/>
    <w:rsid w:val="00886B08"/>
    <w:rsid w:val="00886CB9"/>
    <w:rsid w:val="00886F9A"/>
    <w:rsid w:val="00887424"/>
    <w:rsid w:val="008875BD"/>
    <w:rsid w:val="00887707"/>
    <w:rsid w:val="0088782E"/>
    <w:rsid w:val="00887998"/>
    <w:rsid w:val="00887A6B"/>
    <w:rsid w:val="00887C9E"/>
    <w:rsid w:val="00887E53"/>
    <w:rsid w:val="00887E7B"/>
    <w:rsid w:val="0089000B"/>
    <w:rsid w:val="00890289"/>
    <w:rsid w:val="008903CB"/>
    <w:rsid w:val="0089054E"/>
    <w:rsid w:val="008905A0"/>
    <w:rsid w:val="008905ED"/>
    <w:rsid w:val="00890AD6"/>
    <w:rsid w:val="00890CED"/>
    <w:rsid w:val="00890F3D"/>
    <w:rsid w:val="008911B7"/>
    <w:rsid w:val="008915F9"/>
    <w:rsid w:val="00891644"/>
    <w:rsid w:val="00891945"/>
    <w:rsid w:val="00891ADA"/>
    <w:rsid w:val="00891C43"/>
    <w:rsid w:val="00891C61"/>
    <w:rsid w:val="00891D20"/>
    <w:rsid w:val="00892035"/>
    <w:rsid w:val="00892276"/>
    <w:rsid w:val="008924C3"/>
    <w:rsid w:val="0089264A"/>
    <w:rsid w:val="00893181"/>
    <w:rsid w:val="008931F2"/>
    <w:rsid w:val="008933A8"/>
    <w:rsid w:val="00893549"/>
    <w:rsid w:val="00893561"/>
    <w:rsid w:val="00893A64"/>
    <w:rsid w:val="00893B77"/>
    <w:rsid w:val="00893BEB"/>
    <w:rsid w:val="00893C76"/>
    <w:rsid w:val="00893D25"/>
    <w:rsid w:val="00893D53"/>
    <w:rsid w:val="008941A2"/>
    <w:rsid w:val="00894440"/>
    <w:rsid w:val="008944F3"/>
    <w:rsid w:val="008945B9"/>
    <w:rsid w:val="00894611"/>
    <w:rsid w:val="008946E7"/>
    <w:rsid w:val="00894737"/>
    <w:rsid w:val="008947A3"/>
    <w:rsid w:val="0089484F"/>
    <w:rsid w:val="00894911"/>
    <w:rsid w:val="00894CE7"/>
    <w:rsid w:val="00894EB4"/>
    <w:rsid w:val="008950C3"/>
    <w:rsid w:val="0089515B"/>
    <w:rsid w:val="00895455"/>
    <w:rsid w:val="00895567"/>
    <w:rsid w:val="0089559F"/>
    <w:rsid w:val="00895700"/>
    <w:rsid w:val="008957B0"/>
    <w:rsid w:val="00895852"/>
    <w:rsid w:val="0089596E"/>
    <w:rsid w:val="00895A57"/>
    <w:rsid w:val="00895B9C"/>
    <w:rsid w:val="00895D11"/>
    <w:rsid w:val="00895D5A"/>
    <w:rsid w:val="00895D68"/>
    <w:rsid w:val="00895DC0"/>
    <w:rsid w:val="00895F62"/>
    <w:rsid w:val="00895FE5"/>
    <w:rsid w:val="0089667D"/>
    <w:rsid w:val="00896750"/>
    <w:rsid w:val="0089675A"/>
    <w:rsid w:val="00896B4E"/>
    <w:rsid w:val="00896C3F"/>
    <w:rsid w:val="00896C4A"/>
    <w:rsid w:val="00896C5C"/>
    <w:rsid w:val="00896C9F"/>
    <w:rsid w:val="00896D9B"/>
    <w:rsid w:val="00897076"/>
    <w:rsid w:val="0089752D"/>
    <w:rsid w:val="00897924"/>
    <w:rsid w:val="00897CDC"/>
    <w:rsid w:val="00897D1B"/>
    <w:rsid w:val="00897E08"/>
    <w:rsid w:val="008A0147"/>
    <w:rsid w:val="008A019F"/>
    <w:rsid w:val="008A0286"/>
    <w:rsid w:val="008A052A"/>
    <w:rsid w:val="008A070B"/>
    <w:rsid w:val="008A0791"/>
    <w:rsid w:val="008A0A1E"/>
    <w:rsid w:val="008A0A27"/>
    <w:rsid w:val="008A0B1E"/>
    <w:rsid w:val="008A0B3F"/>
    <w:rsid w:val="008A0C86"/>
    <w:rsid w:val="008A0F7C"/>
    <w:rsid w:val="008A0FC2"/>
    <w:rsid w:val="008A1222"/>
    <w:rsid w:val="008A1262"/>
    <w:rsid w:val="008A1D81"/>
    <w:rsid w:val="008A1E26"/>
    <w:rsid w:val="008A1E94"/>
    <w:rsid w:val="008A2045"/>
    <w:rsid w:val="008A2060"/>
    <w:rsid w:val="008A2206"/>
    <w:rsid w:val="008A23DC"/>
    <w:rsid w:val="008A2915"/>
    <w:rsid w:val="008A2A30"/>
    <w:rsid w:val="008A2B21"/>
    <w:rsid w:val="008A3265"/>
    <w:rsid w:val="008A3507"/>
    <w:rsid w:val="008A398C"/>
    <w:rsid w:val="008A3A6C"/>
    <w:rsid w:val="008A3B5A"/>
    <w:rsid w:val="008A3CB8"/>
    <w:rsid w:val="008A3D53"/>
    <w:rsid w:val="008A4124"/>
    <w:rsid w:val="008A425F"/>
    <w:rsid w:val="008A44C4"/>
    <w:rsid w:val="008A4630"/>
    <w:rsid w:val="008A466A"/>
    <w:rsid w:val="008A47E6"/>
    <w:rsid w:val="008A4809"/>
    <w:rsid w:val="008A49D3"/>
    <w:rsid w:val="008A4CF5"/>
    <w:rsid w:val="008A4D3A"/>
    <w:rsid w:val="008A4DE3"/>
    <w:rsid w:val="008A4E74"/>
    <w:rsid w:val="008A4FA0"/>
    <w:rsid w:val="008A5015"/>
    <w:rsid w:val="008A514F"/>
    <w:rsid w:val="008A5159"/>
    <w:rsid w:val="008A517D"/>
    <w:rsid w:val="008A5234"/>
    <w:rsid w:val="008A5283"/>
    <w:rsid w:val="008A536D"/>
    <w:rsid w:val="008A54A1"/>
    <w:rsid w:val="008A5573"/>
    <w:rsid w:val="008A569C"/>
    <w:rsid w:val="008A5BCE"/>
    <w:rsid w:val="008A5F53"/>
    <w:rsid w:val="008A5F75"/>
    <w:rsid w:val="008A620B"/>
    <w:rsid w:val="008A6453"/>
    <w:rsid w:val="008A664F"/>
    <w:rsid w:val="008A67E7"/>
    <w:rsid w:val="008A68F6"/>
    <w:rsid w:val="008A6939"/>
    <w:rsid w:val="008A6BF6"/>
    <w:rsid w:val="008A6C20"/>
    <w:rsid w:val="008A739D"/>
    <w:rsid w:val="008A73F5"/>
    <w:rsid w:val="008A7521"/>
    <w:rsid w:val="008A7593"/>
    <w:rsid w:val="008A77C2"/>
    <w:rsid w:val="008A7821"/>
    <w:rsid w:val="008A787C"/>
    <w:rsid w:val="008A788F"/>
    <w:rsid w:val="008A7AEB"/>
    <w:rsid w:val="008A7B7D"/>
    <w:rsid w:val="008B0038"/>
    <w:rsid w:val="008B025E"/>
    <w:rsid w:val="008B039C"/>
    <w:rsid w:val="008B0536"/>
    <w:rsid w:val="008B06C4"/>
    <w:rsid w:val="008B0783"/>
    <w:rsid w:val="008B0857"/>
    <w:rsid w:val="008B08B2"/>
    <w:rsid w:val="008B08E9"/>
    <w:rsid w:val="008B0B26"/>
    <w:rsid w:val="008B0B44"/>
    <w:rsid w:val="008B0B6A"/>
    <w:rsid w:val="008B0BB8"/>
    <w:rsid w:val="008B0BB9"/>
    <w:rsid w:val="008B0EA1"/>
    <w:rsid w:val="008B108A"/>
    <w:rsid w:val="008B10F6"/>
    <w:rsid w:val="008B135E"/>
    <w:rsid w:val="008B1430"/>
    <w:rsid w:val="008B1488"/>
    <w:rsid w:val="008B1600"/>
    <w:rsid w:val="008B1AC5"/>
    <w:rsid w:val="008B1E6B"/>
    <w:rsid w:val="008B1F44"/>
    <w:rsid w:val="008B245D"/>
    <w:rsid w:val="008B246E"/>
    <w:rsid w:val="008B2475"/>
    <w:rsid w:val="008B25FE"/>
    <w:rsid w:val="008B2762"/>
    <w:rsid w:val="008B2870"/>
    <w:rsid w:val="008B2890"/>
    <w:rsid w:val="008B28B5"/>
    <w:rsid w:val="008B2966"/>
    <w:rsid w:val="008B2A71"/>
    <w:rsid w:val="008B2BC4"/>
    <w:rsid w:val="008B2D20"/>
    <w:rsid w:val="008B2D2E"/>
    <w:rsid w:val="008B2D72"/>
    <w:rsid w:val="008B2E42"/>
    <w:rsid w:val="008B2E4A"/>
    <w:rsid w:val="008B2E8D"/>
    <w:rsid w:val="008B2F56"/>
    <w:rsid w:val="008B2F60"/>
    <w:rsid w:val="008B3401"/>
    <w:rsid w:val="008B35C3"/>
    <w:rsid w:val="008B36B2"/>
    <w:rsid w:val="008B3D60"/>
    <w:rsid w:val="008B3D91"/>
    <w:rsid w:val="008B3DB1"/>
    <w:rsid w:val="008B3E3C"/>
    <w:rsid w:val="008B41B1"/>
    <w:rsid w:val="008B4283"/>
    <w:rsid w:val="008B43FF"/>
    <w:rsid w:val="008B485E"/>
    <w:rsid w:val="008B4A07"/>
    <w:rsid w:val="008B4A10"/>
    <w:rsid w:val="008B4D42"/>
    <w:rsid w:val="008B50BF"/>
    <w:rsid w:val="008B5105"/>
    <w:rsid w:val="008B5123"/>
    <w:rsid w:val="008B5260"/>
    <w:rsid w:val="008B52EB"/>
    <w:rsid w:val="008B5377"/>
    <w:rsid w:val="008B5484"/>
    <w:rsid w:val="008B5611"/>
    <w:rsid w:val="008B5943"/>
    <w:rsid w:val="008B5C15"/>
    <w:rsid w:val="008B62D7"/>
    <w:rsid w:val="008B63C6"/>
    <w:rsid w:val="008B6699"/>
    <w:rsid w:val="008B6ACD"/>
    <w:rsid w:val="008B6B57"/>
    <w:rsid w:val="008B72AF"/>
    <w:rsid w:val="008B743F"/>
    <w:rsid w:val="008B75B2"/>
    <w:rsid w:val="008B774B"/>
    <w:rsid w:val="008B7B2B"/>
    <w:rsid w:val="008B7D2A"/>
    <w:rsid w:val="008B7DC5"/>
    <w:rsid w:val="008C025F"/>
    <w:rsid w:val="008C041E"/>
    <w:rsid w:val="008C0555"/>
    <w:rsid w:val="008C06C5"/>
    <w:rsid w:val="008C079F"/>
    <w:rsid w:val="008C0BF1"/>
    <w:rsid w:val="008C0D02"/>
    <w:rsid w:val="008C0EB0"/>
    <w:rsid w:val="008C10A7"/>
    <w:rsid w:val="008C10C1"/>
    <w:rsid w:val="008C10DB"/>
    <w:rsid w:val="008C1232"/>
    <w:rsid w:val="008C146D"/>
    <w:rsid w:val="008C15CA"/>
    <w:rsid w:val="008C1A01"/>
    <w:rsid w:val="008C1AC4"/>
    <w:rsid w:val="008C1B4A"/>
    <w:rsid w:val="008C2767"/>
    <w:rsid w:val="008C2A62"/>
    <w:rsid w:val="008C2CB7"/>
    <w:rsid w:val="008C2F7C"/>
    <w:rsid w:val="008C30C4"/>
    <w:rsid w:val="008C31BF"/>
    <w:rsid w:val="008C338D"/>
    <w:rsid w:val="008C3738"/>
    <w:rsid w:val="008C3773"/>
    <w:rsid w:val="008C3C0B"/>
    <w:rsid w:val="008C3FEE"/>
    <w:rsid w:val="008C41E4"/>
    <w:rsid w:val="008C439C"/>
    <w:rsid w:val="008C458C"/>
    <w:rsid w:val="008C45E4"/>
    <w:rsid w:val="008C4827"/>
    <w:rsid w:val="008C48BF"/>
    <w:rsid w:val="008C4A80"/>
    <w:rsid w:val="008C4B27"/>
    <w:rsid w:val="008C4B83"/>
    <w:rsid w:val="008C4F29"/>
    <w:rsid w:val="008C5092"/>
    <w:rsid w:val="008C51CE"/>
    <w:rsid w:val="008C51FB"/>
    <w:rsid w:val="008C55BF"/>
    <w:rsid w:val="008C55E1"/>
    <w:rsid w:val="008C5E0F"/>
    <w:rsid w:val="008C5F41"/>
    <w:rsid w:val="008C60F2"/>
    <w:rsid w:val="008C620C"/>
    <w:rsid w:val="008C6254"/>
    <w:rsid w:val="008C659E"/>
    <w:rsid w:val="008C666A"/>
    <w:rsid w:val="008C6C1E"/>
    <w:rsid w:val="008C7319"/>
    <w:rsid w:val="008C748E"/>
    <w:rsid w:val="008C755C"/>
    <w:rsid w:val="008C75CB"/>
    <w:rsid w:val="008C75D7"/>
    <w:rsid w:val="008C7A0C"/>
    <w:rsid w:val="008C7A19"/>
    <w:rsid w:val="008C7A58"/>
    <w:rsid w:val="008C7B2D"/>
    <w:rsid w:val="008C7EF3"/>
    <w:rsid w:val="008D0067"/>
    <w:rsid w:val="008D00A6"/>
    <w:rsid w:val="008D01EC"/>
    <w:rsid w:val="008D0473"/>
    <w:rsid w:val="008D051A"/>
    <w:rsid w:val="008D052C"/>
    <w:rsid w:val="008D057B"/>
    <w:rsid w:val="008D0758"/>
    <w:rsid w:val="008D089F"/>
    <w:rsid w:val="008D0C5C"/>
    <w:rsid w:val="008D0D5D"/>
    <w:rsid w:val="008D0DF6"/>
    <w:rsid w:val="008D0EFE"/>
    <w:rsid w:val="008D11C2"/>
    <w:rsid w:val="008D1297"/>
    <w:rsid w:val="008D1361"/>
    <w:rsid w:val="008D1431"/>
    <w:rsid w:val="008D1494"/>
    <w:rsid w:val="008D1646"/>
    <w:rsid w:val="008D16CC"/>
    <w:rsid w:val="008D172E"/>
    <w:rsid w:val="008D1852"/>
    <w:rsid w:val="008D1B12"/>
    <w:rsid w:val="008D1D78"/>
    <w:rsid w:val="008D1E63"/>
    <w:rsid w:val="008D1ED7"/>
    <w:rsid w:val="008D1EDA"/>
    <w:rsid w:val="008D1F9D"/>
    <w:rsid w:val="008D2119"/>
    <w:rsid w:val="008D225A"/>
    <w:rsid w:val="008D238A"/>
    <w:rsid w:val="008D26F4"/>
    <w:rsid w:val="008D27E0"/>
    <w:rsid w:val="008D293E"/>
    <w:rsid w:val="008D2B94"/>
    <w:rsid w:val="008D2BDF"/>
    <w:rsid w:val="008D2F99"/>
    <w:rsid w:val="008D30A3"/>
    <w:rsid w:val="008D331B"/>
    <w:rsid w:val="008D3389"/>
    <w:rsid w:val="008D3469"/>
    <w:rsid w:val="008D35EA"/>
    <w:rsid w:val="008D3631"/>
    <w:rsid w:val="008D367D"/>
    <w:rsid w:val="008D37D1"/>
    <w:rsid w:val="008D3999"/>
    <w:rsid w:val="008D3AEB"/>
    <w:rsid w:val="008D3CA2"/>
    <w:rsid w:val="008D3CA3"/>
    <w:rsid w:val="008D4012"/>
    <w:rsid w:val="008D4025"/>
    <w:rsid w:val="008D4163"/>
    <w:rsid w:val="008D4487"/>
    <w:rsid w:val="008D45A7"/>
    <w:rsid w:val="008D45B4"/>
    <w:rsid w:val="008D46A0"/>
    <w:rsid w:val="008D46BB"/>
    <w:rsid w:val="008D4737"/>
    <w:rsid w:val="008D474D"/>
    <w:rsid w:val="008D49DC"/>
    <w:rsid w:val="008D4F39"/>
    <w:rsid w:val="008D50CA"/>
    <w:rsid w:val="008D5171"/>
    <w:rsid w:val="008D5354"/>
    <w:rsid w:val="008D5477"/>
    <w:rsid w:val="008D564F"/>
    <w:rsid w:val="008D592D"/>
    <w:rsid w:val="008D59EB"/>
    <w:rsid w:val="008D5BDA"/>
    <w:rsid w:val="008D5C93"/>
    <w:rsid w:val="008D5D1F"/>
    <w:rsid w:val="008D61D0"/>
    <w:rsid w:val="008D61E0"/>
    <w:rsid w:val="008D6309"/>
    <w:rsid w:val="008D64DB"/>
    <w:rsid w:val="008D6573"/>
    <w:rsid w:val="008D665F"/>
    <w:rsid w:val="008D67C1"/>
    <w:rsid w:val="008D69A6"/>
    <w:rsid w:val="008D6D7D"/>
    <w:rsid w:val="008D6FC9"/>
    <w:rsid w:val="008D72E6"/>
    <w:rsid w:val="008D74D8"/>
    <w:rsid w:val="008D757C"/>
    <w:rsid w:val="008D7691"/>
    <w:rsid w:val="008D76AE"/>
    <w:rsid w:val="008D76DE"/>
    <w:rsid w:val="008D772E"/>
    <w:rsid w:val="008D7862"/>
    <w:rsid w:val="008D795C"/>
    <w:rsid w:val="008D7CBE"/>
    <w:rsid w:val="008D7F68"/>
    <w:rsid w:val="008D7FF1"/>
    <w:rsid w:val="008E0065"/>
    <w:rsid w:val="008E006D"/>
    <w:rsid w:val="008E025C"/>
    <w:rsid w:val="008E0355"/>
    <w:rsid w:val="008E03CC"/>
    <w:rsid w:val="008E0417"/>
    <w:rsid w:val="008E054E"/>
    <w:rsid w:val="008E0A17"/>
    <w:rsid w:val="008E0C0F"/>
    <w:rsid w:val="008E0C86"/>
    <w:rsid w:val="008E0CC4"/>
    <w:rsid w:val="008E0E5A"/>
    <w:rsid w:val="008E0E76"/>
    <w:rsid w:val="008E1083"/>
    <w:rsid w:val="008E123B"/>
    <w:rsid w:val="008E1319"/>
    <w:rsid w:val="008E1408"/>
    <w:rsid w:val="008E15D3"/>
    <w:rsid w:val="008E15F1"/>
    <w:rsid w:val="008E168C"/>
    <w:rsid w:val="008E18B1"/>
    <w:rsid w:val="008E19A5"/>
    <w:rsid w:val="008E1B62"/>
    <w:rsid w:val="008E1D43"/>
    <w:rsid w:val="008E206D"/>
    <w:rsid w:val="008E2143"/>
    <w:rsid w:val="008E2458"/>
    <w:rsid w:val="008E2543"/>
    <w:rsid w:val="008E275E"/>
    <w:rsid w:val="008E2A1E"/>
    <w:rsid w:val="008E2CC6"/>
    <w:rsid w:val="008E2DEE"/>
    <w:rsid w:val="008E2FB3"/>
    <w:rsid w:val="008E2FEB"/>
    <w:rsid w:val="008E2FF7"/>
    <w:rsid w:val="008E324C"/>
    <w:rsid w:val="008E3263"/>
    <w:rsid w:val="008E3416"/>
    <w:rsid w:val="008E357B"/>
    <w:rsid w:val="008E38A8"/>
    <w:rsid w:val="008E3C06"/>
    <w:rsid w:val="008E42E1"/>
    <w:rsid w:val="008E4322"/>
    <w:rsid w:val="008E43F2"/>
    <w:rsid w:val="008E4543"/>
    <w:rsid w:val="008E4610"/>
    <w:rsid w:val="008E4966"/>
    <w:rsid w:val="008E4AE6"/>
    <w:rsid w:val="008E4CA7"/>
    <w:rsid w:val="008E4E2D"/>
    <w:rsid w:val="008E4F18"/>
    <w:rsid w:val="008E4F29"/>
    <w:rsid w:val="008E50B6"/>
    <w:rsid w:val="008E5240"/>
    <w:rsid w:val="008E5370"/>
    <w:rsid w:val="008E53B1"/>
    <w:rsid w:val="008E5651"/>
    <w:rsid w:val="008E566D"/>
    <w:rsid w:val="008E57FB"/>
    <w:rsid w:val="008E5999"/>
    <w:rsid w:val="008E5BDA"/>
    <w:rsid w:val="008E5CF7"/>
    <w:rsid w:val="008E6191"/>
    <w:rsid w:val="008E62C0"/>
    <w:rsid w:val="008E66A6"/>
    <w:rsid w:val="008E66D1"/>
    <w:rsid w:val="008E66F1"/>
    <w:rsid w:val="008E6A1F"/>
    <w:rsid w:val="008E6AA6"/>
    <w:rsid w:val="008E6B30"/>
    <w:rsid w:val="008E6DAF"/>
    <w:rsid w:val="008E6F3F"/>
    <w:rsid w:val="008E7150"/>
    <w:rsid w:val="008E71A0"/>
    <w:rsid w:val="008E726B"/>
    <w:rsid w:val="008E73F2"/>
    <w:rsid w:val="008E7712"/>
    <w:rsid w:val="008E78EB"/>
    <w:rsid w:val="008E7EF8"/>
    <w:rsid w:val="008F0C01"/>
    <w:rsid w:val="008F0CA0"/>
    <w:rsid w:val="008F0CBA"/>
    <w:rsid w:val="008F0CD6"/>
    <w:rsid w:val="008F0D7A"/>
    <w:rsid w:val="008F0F3A"/>
    <w:rsid w:val="008F0F54"/>
    <w:rsid w:val="008F13AC"/>
    <w:rsid w:val="008F159F"/>
    <w:rsid w:val="008F1A39"/>
    <w:rsid w:val="008F1C8E"/>
    <w:rsid w:val="008F1D5C"/>
    <w:rsid w:val="008F1D87"/>
    <w:rsid w:val="008F1E21"/>
    <w:rsid w:val="008F1EC7"/>
    <w:rsid w:val="008F1FEA"/>
    <w:rsid w:val="008F2149"/>
    <w:rsid w:val="008F2580"/>
    <w:rsid w:val="008F2695"/>
    <w:rsid w:val="008F27AC"/>
    <w:rsid w:val="008F27CD"/>
    <w:rsid w:val="008F27F1"/>
    <w:rsid w:val="008F28A4"/>
    <w:rsid w:val="008F28D6"/>
    <w:rsid w:val="008F2941"/>
    <w:rsid w:val="008F2951"/>
    <w:rsid w:val="008F2E0E"/>
    <w:rsid w:val="008F2F45"/>
    <w:rsid w:val="008F2F6C"/>
    <w:rsid w:val="008F3046"/>
    <w:rsid w:val="008F30DF"/>
    <w:rsid w:val="008F3139"/>
    <w:rsid w:val="008F3714"/>
    <w:rsid w:val="008F397F"/>
    <w:rsid w:val="008F3B2A"/>
    <w:rsid w:val="008F3B4B"/>
    <w:rsid w:val="008F3C01"/>
    <w:rsid w:val="008F3CBA"/>
    <w:rsid w:val="008F4158"/>
    <w:rsid w:val="008F43FE"/>
    <w:rsid w:val="008F4485"/>
    <w:rsid w:val="008F466F"/>
    <w:rsid w:val="008F48C3"/>
    <w:rsid w:val="008F49C1"/>
    <w:rsid w:val="008F4AE6"/>
    <w:rsid w:val="008F4B44"/>
    <w:rsid w:val="008F4B9A"/>
    <w:rsid w:val="008F4D85"/>
    <w:rsid w:val="008F4FC3"/>
    <w:rsid w:val="008F4FF2"/>
    <w:rsid w:val="008F546A"/>
    <w:rsid w:val="008F565F"/>
    <w:rsid w:val="008F5AD2"/>
    <w:rsid w:val="008F5EA3"/>
    <w:rsid w:val="008F5EA8"/>
    <w:rsid w:val="008F5F84"/>
    <w:rsid w:val="008F5FEC"/>
    <w:rsid w:val="008F6096"/>
    <w:rsid w:val="008F6193"/>
    <w:rsid w:val="008F61FE"/>
    <w:rsid w:val="008F6305"/>
    <w:rsid w:val="008F6347"/>
    <w:rsid w:val="008F64F1"/>
    <w:rsid w:val="008F652C"/>
    <w:rsid w:val="008F6616"/>
    <w:rsid w:val="008F6AE3"/>
    <w:rsid w:val="008F6C1B"/>
    <w:rsid w:val="008F6DEC"/>
    <w:rsid w:val="008F6EC8"/>
    <w:rsid w:val="008F704C"/>
    <w:rsid w:val="008F741F"/>
    <w:rsid w:val="008F744A"/>
    <w:rsid w:val="008F756C"/>
    <w:rsid w:val="008F75ED"/>
    <w:rsid w:val="008F7635"/>
    <w:rsid w:val="008F7C67"/>
    <w:rsid w:val="008F7D49"/>
    <w:rsid w:val="008F7F3B"/>
    <w:rsid w:val="008FC897"/>
    <w:rsid w:val="009000C5"/>
    <w:rsid w:val="009000CD"/>
    <w:rsid w:val="0090031C"/>
    <w:rsid w:val="00900361"/>
    <w:rsid w:val="00900792"/>
    <w:rsid w:val="00900806"/>
    <w:rsid w:val="00900B45"/>
    <w:rsid w:val="00900C70"/>
    <w:rsid w:val="00900E1A"/>
    <w:rsid w:val="00900EEB"/>
    <w:rsid w:val="00900F9A"/>
    <w:rsid w:val="0090101E"/>
    <w:rsid w:val="009011D6"/>
    <w:rsid w:val="0090150D"/>
    <w:rsid w:val="009015FB"/>
    <w:rsid w:val="00901613"/>
    <w:rsid w:val="009018E4"/>
    <w:rsid w:val="0090199E"/>
    <w:rsid w:val="00901B84"/>
    <w:rsid w:val="00901D7B"/>
    <w:rsid w:val="00901F90"/>
    <w:rsid w:val="009022B7"/>
    <w:rsid w:val="0090238E"/>
    <w:rsid w:val="00902810"/>
    <w:rsid w:val="00902BC3"/>
    <w:rsid w:val="00902CC9"/>
    <w:rsid w:val="00902DE0"/>
    <w:rsid w:val="00902DEC"/>
    <w:rsid w:val="00903365"/>
    <w:rsid w:val="009033DD"/>
    <w:rsid w:val="009035E1"/>
    <w:rsid w:val="009036C4"/>
    <w:rsid w:val="00903767"/>
    <w:rsid w:val="009037FB"/>
    <w:rsid w:val="00903830"/>
    <w:rsid w:val="00903903"/>
    <w:rsid w:val="00903D02"/>
    <w:rsid w:val="0090406E"/>
    <w:rsid w:val="009042AA"/>
    <w:rsid w:val="009044FD"/>
    <w:rsid w:val="009049AF"/>
    <w:rsid w:val="00904C65"/>
    <w:rsid w:val="00904C78"/>
    <w:rsid w:val="00904E70"/>
    <w:rsid w:val="00904F08"/>
    <w:rsid w:val="00904FBA"/>
    <w:rsid w:val="0090526E"/>
    <w:rsid w:val="0090582F"/>
    <w:rsid w:val="009058AD"/>
    <w:rsid w:val="00905BE1"/>
    <w:rsid w:val="00905D3F"/>
    <w:rsid w:val="00905E27"/>
    <w:rsid w:val="00905F9B"/>
    <w:rsid w:val="0090604C"/>
    <w:rsid w:val="00906673"/>
    <w:rsid w:val="009069D1"/>
    <w:rsid w:val="00906C88"/>
    <w:rsid w:val="00906CDA"/>
    <w:rsid w:val="00906DD2"/>
    <w:rsid w:val="00906DD9"/>
    <w:rsid w:val="0090727C"/>
    <w:rsid w:val="009072DD"/>
    <w:rsid w:val="009077A5"/>
    <w:rsid w:val="00907833"/>
    <w:rsid w:val="00907AC4"/>
    <w:rsid w:val="00907B4E"/>
    <w:rsid w:val="00907C62"/>
    <w:rsid w:val="00907DC8"/>
    <w:rsid w:val="00907F75"/>
    <w:rsid w:val="0091023F"/>
    <w:rsid w:val="0091024F"/>
    <w:rsid w:val="0091046B"/>
    <w:rsid w:val="0091054B"/>
    <w:rsid w:val="009109A1"/>
    <w:rsid w:val="00910AA9"/>
    <w:rsid w:val="00910B6C"/>
    <w:rsid w:val="00910BEB"/>
    <w:rsid w:val="00910CC8"/>
    <w:rsid w:val="00910D4A"/>
    <w:rsid w:val="00910DB5"/>
    <w:rsid w:val="00910E66"/>
    <w:rsid w:val="00910F30"/>
    <w:rsid w:val="009110C9"/>
    <w:rsid w:val="009110DD"/>
    <w:rsid w:val="00911130"/>
    <w:rsid w:val="00911286"/>
    <w:rsid w:val="00911500"/>
    <w:rsid w:val="00911583"/>
    <w:rsid w:val="00911697"/>
    <w:rsid w:val="00911C25"/>
    <w:rsid w:val="00911E9B"/>
    <w:rsid w:val="00911F21"/>
    <w:rsid w:val="00912081"/>
    <w:rsid w:val="009122AE"/>
    <w:rsid w:val="00912477"/>
    <w:rsid w:val="009124C6"/>
    <w:rsid w:val="00912852"/>
    <w:rsid w:val="00912BF9"/>
    <w:rsid w:val="00912DA6"/>
    <w:rsid w:val="00912F3A"/>
    <w:rsid w:val="0091352B"/>
    <w:rsid w:val="009135E1"/>
    <w:rsid w:val="00913C51"/>
    <w:rsid w:val="00913D89"/>
    <w:rsid w:val="00913DC4"/>
    <w:rsid w:val="00913FC7"/>
    <w:rsid w:val="00914008"/>
    <w:rsid w:val="009140C2"/>
    <w:rsid w:val="009140D4"/>
    <w:rsid w:val="00914164"/>
    <w:rsid w:val="009141A8"/>
    <w:rsid w:val="00914563"/>
    <w:rsid w:val="009146B4"/>
    <w:rsid w:val="00914839"/>
    <w:rsid w:val="009148A7"/>
    <w:rsid w:val="009149ED"/>
    <w:rsid w:val="00914C95"/>
    <w:rsid w:val="009151CD"/>
    <w:rsid w:val="009153D0"/>
    <w:rsid w:val="0091556D"/>
    <w:rsid w:val="009157DB"/>
    <w:rsid w:val="009158F7"/>
    <w:rsid w:val="0091591A"/>
    <w:rsid w:val="00915997"/>
    <w:rsid w:val="00915B0C"/>
    <w:rsid w:val="00915C04"/>
    <w:rsid w:val="00915F0F"/>
    <w:rsid w:val="00916377"/>
    <w:rsid w:val="0091647B"/>
    <w:rsid w:val="00916536"/>
    <w:rsid w:val="009165E3"/>
    <w:rsid w:val="009166D1"/>
    <w:rsid w:val="009166D3"/>
    <w:rsid w:val="0091683C"/>
    <w:rsid w:val="00916CA5"/>
    <w:rsid w:val="00916E3A"/>
    <w:rsid w:val="009170E7"/>
    <w:rsid w:val="00917791"/>
    <w:rsid w:val="00917839"/>
    <w:rsid w:val="009179E8"/>
    <w:rsid w:val="00917A47"/>
    <w:rsid w:val="00917B87"/>
    <w:rsid w:val="00917C01"/>
    <w:rsid w:val="00917D30"/>
    <w:rsid w:val="00917F09"/>
    <w:rsid w:val="00920020"/>
    <w:rsid w:val="0092017C"/>
    <w:rsid w:val="0092020C"/>
    <w:rsid w:val="0092050A"/>
    <w:rsid w:val="00920682"/>
    <w:rsid w:val="00920A20"/>
    <w:rsid w:val="00920DAA"/>
    <w:rsid w:val="00920E58"/>
    <w:rsid w:val="00920FE6"/>
    <w:rsid w:val="00921061"/>
    <w:rsid w:val="0092130C"/>
    <w:rsid w:val="00921432"/>
    <w:rsid w:val="00921589"/>
    <w:rsid w:val="0092169B"/>
    <w:rsid w:val="009219D2"/>
    <w:rsid w:val="00921BF5"/>
    <w:rsid w:val="00921D33"/>
    <w:rsid w:val="00921E2C"/>
    <w:rsid w:val="00921F4D"/>
    <w:rsid w:val="00921F8E"/>
    <w:rsid w:val="0092226C"/>
    <w:rsid w:val="00922281"/>
    <w:rsid w:val="0092229C"/>
    <w:rsid w:val="00922397"/>
    <w:rsid w:val="009225D8"/>
    <w:rsid w:val="00922941"/>
    <w:rsid w:val="00922A05"/>
    <w:rsid w:val="00922A15"/>
    <w:rsid w:val="00922B74"/>
    <w:rsid w:val="00922C39"/>
    <w:rsid w:val="00922D3F"/>
    <w:rsid w:val="00922D57"/>
    <w:rsid w:val="00922D5D"/>
    <w:rsid w:val="00922DFF"/>
    <w:rsid w:val="00922EA0"/>
    <w:rsid w:val="00922EFF"/>
    <w:rsid w:val="00922FFA"/>
    <w:rsid w:val="009230C7"/>
    <w:rsid w:val="00923198"/>
    <w:rsid w:val="00923233"/>
    <w:rsid w:val="0092344B"/>
    <w:rsid w:val="009235ED"/>
    <w:rsid w:val="00923629"/>
    <w:rsid w:val="00923A22"/>
    <w:rsid w:val="00923A8A"/>
    <w:rsid w:val="00923C1E"/>
    <w:rsid w:val="00924163"/>
    <w:rsid w:val="0092435F"/>
    <w:rsid w:val="0092443D"/>
    <w:rsid w:val="009246DF"/>
    <w:rsid w:val="00924AB7"/>
    <w:rsid w:val="00924BF8"/>
    <w:rsid w:val="00924D8E"/>
    <w:rsid w:val="0092532D"/>
    <w:rsid w:val="009258C2"/>
    <w:rsid w:val="009259D0"/>
    <w:rsid w:val="00925C03"/>
    <w:rsid w:val="00925D1A"/>
    <w:rsid w:val="00925E00"/>
    <w:rsid w:val="00925F9F"/>
    <w:rsid w:val="00926079"/>
    <w:rsid w:val="0092619F"/>
    <w:rsid w:val="0092630A"/>
    <w:rsid w:val="00926349"/>
    <w:rsid w:val="009263AC"/>
    <w:rsid w:val="009265D1"/>
    <w:rsid w:val="009268AE"/>
    <w:rsid w:val="00926F27"/>
    <w:rsid w:val="00926F50"/>
    <w:rsid w:val="0092718F"/>
    <w:rsid w:val="0092750D"/>
    <w:rsid w:val="0092752E"/>
    <w:rsid w:val="00927554"/>
    <w:rsid w:val="009275B7"/>
    <w:rsid w:val="009276E7"/>
    <w:rsid w:val="0092798B"/>
    <w:rsid w:val="00927AB5"/>
    <w:rsid w:val="00927AD7"/>
    <w:rsid w:val="00927AFF"/>
    <w:rsid w:val="00927B60"/>
    <w:rsid w:val="00927DF9"/>
    <w:rsid w:val="00927E61"/>
    <w:rsid w:val="00927F91"/>
    <w:rsid w:val="0093006D"/>
    <w:rsid w:val="0093041C"/>
    <w:rsid w:val="00930505"/>
    <w:rsid w:val="00930553"/>
    <w:rsid w:val="00930564"/>
    <w:rsid w:val="00930881"/>
    <w:rsid w:val="009308E4"/>
    <w:rsid w:val="00930AA4"/>
    <w:rsid w:val="00930B7C"/>
    <w:rsid w:val="00930C97"/>
    <w:rsid w:val="00930EBD"/>
    <w:rsid w:val="00930FD5"/>
    <w:rsid w:val="009311B5"/>
    <w:rsid w:val="009312AA"/>
    <w:rsid w:val="0093139C"/>
    <w:rsid w:val="0093151F"/>
    <w:rsid w:val="00931534"/>
    <w:rsid w:val="009315BE"/>
    <w:rsid w:val="0093239C"/>
    <w:rsid w:val="009323E8"/>
    <w:rsid w:val="009325BF"/>
    <w:rsid w:val="009326BE"/>
    <w:rsid w:val="009328FF"/>
    <w:rsid w:val="00932AE9"/>
    <w:rsid w:val="00932BD7"/>
    <w:rsid w:val="00932C27"/>
    <w:rsid w:val="00932CC3"/>
    <w:rsid w:val="00932F60"/>
    <w:rsid w:val="00932FEA"/>
    <w:rsid w:val="009331AF"/>
    <w:rsid w:val="009332D4"/>
    <w:rsid w:val="00933376"/>
    <w:rsid w:val="00933516"/>
    <w:rsid w:val="009336E9"/>
    <w:rsid w:val="009338C6"/>
    <w:rsid w:val="0093399B"/>
    <w:rsid w:val="00933A96"/>
    <w:rsid w:val="00933B36"/>
    <w:rsid w:val="00933D81"/>
    <w:rsid w:val="00933EA8"/>
    <w:rsid w:val="009342BF"/>
    <w:rsid w:val="009343FB"/>
    <w:rsid w:val="00934889"/>
    <w:rsid w:val="00934B5A"/>
    <w:rsid w:val="00934F82"/>
    <w:rsid w:val="00934FD8"/>
    <w:rsid w:val="009350D0"/>
    <w:rsid w:val="009351A9"/>
    <w:rsid w:val="00935221"/>
    <w:rsid w:val="0093551F"/>
    <w:rsid w:val="00935573"/>
    <w:rsid w:val="00935951"/>
    <w:rsid w:val="00935BA0"/>
    <w:rsid w:val="00935CA2"/>
    <w:rsid w:val="00935E40"/>
    <w:rsid w:val="00935F5F"/>
    <w:rsid w:val="00936036"/>
    <w:rsid w:val="00936138"/>
    <w:rsid w:val="00936169"/>
    <w:rsid w:val="0093622F"/>
    <w:rsid w:val="0093638C"/>
    <w:rsid w:val="009363C0"/>
    <w:rsid w:val="00936568"/>
    <w:rsid w:val="009368BF"/>
    <w:rsid w:val="009368E2"/>
    <w:rsid w:val="00936D8B"/>
    <w:rsid w:val="0093702B"/>
    <w:rsid w:val="009370B9"/>
    <w:rsid w:val="00937487"/>
    <w:rsid w:val="00937786"/>
    <w:rsid w:val="0093778A"/>
    <w:rsid w:val="00937D92"/>
    <w:rsid w:val="00937E9F"/>
    <w:rsid w:val="00937ECC"/>
    <w:rsid w:val="00937FA2"/>
    <w:rsid w:val="009404E0"/>
    <w:rsid w:val="00940580"/>
    <w:rsid w:val="00940682"/>
    <w:rsid w:val="0094070B"/>
    <w:rsid w:val="0094094C"/>
    <w:rsid w:val="00941501"/>
    <w:rsid w:val="0094179A"/>
    <w:rsid w:val="00941819"/>
    <w:rsid w:val="00941913"/>
    <w:rsid w:val="00941A73"/>
    <w:rsid w:val="00941B94"/>
    <w:rsid w:val="00941CCB"/>
    <w:rsid w:val="00941D29"/>
    <w:rsid w:val="00941DEB"/>
    <w:rsid w:val="00941E34"/>
    <w:rsid w:val="00942013"/>
    <w:rsid w:val="00942021"/>
    <w:rsid w:val="009424A4"/>
    <w:rsid w:val="009429D2"/>
    <w:rsid w:val="00943286"/>
    <w:rsid w:val="009434B4"/>
    <w:rsid w:val="00943557"/>
    <w:rsid w:val="009436B6"/>
    <w:rsid w:val="009436D4"/>
    <w:rsid w:val="0094378C"/>
    <w:rsid w:val="00943EC3"/>
    <w:rsid w:val="00944101"/>
    <w:rsid w:val="009441CF"/>
    <w:rsid w:val="009441F1"/>
    <w:rsid w:val="009447ED"/>
    <w:rsid w:val="009447F4"/>
    <w:rsid w:val="009448B9"/>
    <w:rsid w:val="00944A05"/>
    <w:rsid w:val="00944A0A"/>
    <w:rsid w:val="00944CAF"/>
    <w:rsid w:val="00944CDA"/>
    <w:rsid w:val="00944CFF"/>
    <w:rsid w:val="00944EDF"/>
    <w:rsid w:val="00945161"/>
    <w:rsid w:val="0094517B"/>
    <w:rsid w:val="009451F4"/>
    <w:rsid w:val="00945247"/>
    <w:rsid w:val="0094528E"/>
    <w:rsid w:val="00945406"/>
    <w:rsid w:val="00945478"/>
    <w:rsid w:val="0094552B"/>
    <w:rsid w:val="00945654"/>
    <w:rsid w:val="009459CC"/>
    <w:rsid w:val="00945C5D"/>
    <w:rsid w:val="00946106"/>
    <w:rsid w:val="0094628F"/>
    <w:rsid w:val="0094653C"/>
    <w:rsid w:val="009465D0"/>
    <w:rsid w:val="009465D8"/>
    <w:rsid w:val="009467BF"/>
    <w:rsid w:val="00946B8E"/>
    <w:rsid w:val="00946C28"/>
    <w:rsid w:val="00946EC4"/>
    <w:rsid w:val="0094713C"/>
    <w:rsid w:val="00947469"/>
    <w:rsid w:val="0094773C"/>
    <w:rsid w:val="00947760"/>
    <w:rsid w:val="00947818"/>
    <w:rsid w:val="009478CE"/>
    <w:rsid w:val="00947AB6"/>
    <w:rsid w:val="00947BBD"/>
    <w:rsid w:val="00947CD0"/>
    <w:rsid w:val="00947EA4"/>
    <w:rsid w:val="00950162"/>
    <w:rsid w:val="00950180"/>
    <w:rsid w:val="0095026D"/>
    <w:rsid w:val="0095057F"/>
    <w:rsid w:val="00950732"/>
    <w:rsid w:val="0095090B"/>
    <w:rsid w:val="00950A02"/>
    <w:rsid w:val="00950A9B"/>
    <w:rsid w:val="00950C30"/>
    <w:rsid w:val="00950D4B"/>
    <w:rsid w:val="00950D79"/>
    <w:rsid w:val="00951150"/>
    <w:rsid w:val="009511E3"/>
    <w:rsid w:val="009513F1"/>
    <w:rsid w:val="009513FE"/>
    <w:rsid w:val="00951843"/>
    <w:rsid w:val="009519BC"/>
    <w:rsid w:val="00951ACD"/>
    <w:rsid w:val="00951E86"/>
    <w:rsid w:val="00951F65"/>
    <w:rsid w:val="0095231F"/>
    <w:rsid w:val="00952653"/>
    <w:rsid w:val="0095282D"/>
    <w:rsid w:val="00952982"/>
    <w:rsid w:val="00952C4E"/>
    <w:rsid w:val="00952D4C"/>
    <w:rsid w:val="00952F05"/>
    <w:rsid w:val="0095333C"/>
    <w:rsid w:val="00953624"/>
    <w:rsid w:val="00953833"/>
    <w:rsid w:val="00953B11"/>
    <w:rsid w:val="00953BA5"/>
    <w:rsid w:val="0095425A"/>
    <w:rsid w:val="009543A4"/>
    <w:rsid w:val="00954535"/>
    <w:rsid w:val="009549F3"/>
    <w:rsid w:val="00954DAB"/>
    <w:rsid w:val="00954E6B"/>
    <w:rsid w:val="009550AD"/>
    <w:rsid w:val="009550CD"/>
    <w:rsid w:val="009550D1"/>
    <w:rsid w:val="00955388"/>
    <w:rsid w:val="00955553"/>
    <w:rsid w:val="0095569F"/>
    <w:rsid w:val="009558B8"/>
    <w:rsid w:val="00955C05"/>
    <w:rsid w:val="00955C51"/>
    <w:rsid w:val="00955CF1"/>
    <w:rsid w:val="00955D15"/>
    <w:rsid w:val="00955D9F"/>
    <w:rsid w:val="00955E62"/>
    <w:rsid w:val="00955FD1"/>
    <w:rsid w:val="009560F0"/>
    <w:rsid w:val="00956103"/>
    <w:rsid w:val="0095648F"/>
    <w:rsid w:val="009564F9"/>
    <w:rsid w:val="0095675E"/>
    <w:rsid w:val="009567DD"/>
    <w:rsid w:val="009569E6"/>
    <w:rsid w:val="00956BD8"/>
    <w:rsid w:val="00956CB8"/>
    <w:rsid w:val="00957090"/>
    <w:rsid w:val="00957453"/>
    <w:rsid w:val="00957585"/>
    <w:rsid w:val="009578F7"/>
    <w:rsid w:val="00957C20"/>
    <w:rsid w:val="00957D57"/>
    <w:rsid w:val="00957EE6"/>
    <w:rsid w:val="00960077"/>
    <w:rsid w:val="009600A8"/>
    <w:rsid w:val="009601D6"/>
    <w:rsid w:val="0096037F"/>
    <w:rsid w:val="009605F3"/>
    <w:rsid w:val="009606A4"/>
    <w:rsid w:val="009607A7"/>
    <w:rsid w:val="009609D3"/>
    <w:rsid w:val="00960CC9"/>
    <w:rsid w:val="00960DFF"/>
    <w:rsid w:val="0096125F"/>
    <w:rsid w:val="0096135D"/>
    <w:rsid w:val="0096166B"/>
    <w:rsid w:val="00961A16"/>
    <w:rsid w:val="00961BF5"/>
    <w:rsid w:val="00961DE9"/>
    <w:rsid w:val="00961E43"/>
    <w:rsid w:val="009625CE"/>
    <w:rsid w:val="009628AB"/>
    <w:rsid w:val="00962994"/>
    <w:rsid w:val="009629D6"/>
    <w:rsid w:val="009629FA"/>
    <w:rsid w:val="00962A47"/>
    <w:rsid w:val="00962B36"/>
    <w:rsid w:val="00962DBD"/>
    <w:rsid w:val="00962E69"/>
    <w:rsid w:val="00962FAA"/>
    <w:rsid w:val="00963117"/>
    <w:rsid w:val="009632C5"/>
    <w:rsid w:val="009632F4"/>
    <w:rsid w:val="009633A2"/>
    <w:rsid w:val="00963417"/>
    <w:rsid w:val="0096381E"/>
    <w:rsid w:val="0096388C"/>
    <w:rsid w:val="0096390A"/>
    <w:rsid w:val="00963AAB"/>
    <w:rsid w:val="00963E36"/>
    <w:rsid w:val="009641E8"/>
    <w:rsid w:val="009643BE"/>
    <w:rsid w:val="009644F8"/>
    <w:rsid w:val="00964533"/>
    <w:rsid w:val="00964592"/>
    <w:rsid w:val="009645B2"/>
    <w:rsid w:val="009645E2"/>
    <w:rsid w:val="0096466F"/>
    <w:rsid w:val="009646F1"/>
    <w:rsid w:val="009647B7"/>
    <w:rsid w:val="009648AF"/>
    <w:rsid w:val="00964A03"/>
    <w:rsid w:val="00964CCD"/>
    <w:rsid w:val="00965340"/>
    <w:rsid w:val="009654F0"/>
    <w:rsid w:val="00965586"/>
    <w:rsid w:val="009658ED"/>
    <w:rsid w:val="00965A04"/>
    <w:rsid w:val="00965ADB"/>
    <w:rsid w:val="00965AE2"/>
    <w:rsid w:val="00965D9A"/>
    <w:rsid w:val="00965FC6"/>
    <w:rsid w:val="00966168"/>
    <w:rsid w:val="0096639E"/>
    <w:rsid w:val="00966514"/>
    <w:rsid w:val="00966654"/>
    <w:rsid w:val="009667F1"/>
    <w:rsid w:val="00966845"/>
    <w:rsid w:val="00966AEB"/>
    <w:rsid w:val="00966CCA"/>
    <w:rsid w:val="00966CD2"/>
    <w:rsid w:val="00966DF2"/>
    <w:rsid w:val="00966E87"/>
    <w:rsid w:val="00966EF3"/>
    <w:rsid w:val="00967349"/>
    <w:rsid w:val="0096736D"/>
    <w:rsid w:val="009674A0"/>
    <w:rsid w:val="009674E2"/>
    <w:rsid w:val="00967513"/>
    <w:rsid w:val="009677A0"/>
    <w:rsid w:val="009679B7"/>
    <w:rsid w:val="00967C15"/>
    <w:rsid w:val="00970256"/>
    <w:rsid w:val="00970445"/>
    <w:rsid w:val="0097053B"/>
    <w:rsid w:val="00970730"/>
    <w:rsid w:val="009708BE"/>
    <w:rsid w:val="00970C87"/>
    <w:rsid w:val="00970FB7"/>
    <w:rsid w:val="00970FBB"/>
    <w:rsid w:val="00971017"/>
    <w:rsid w:val="00971025"/>
    <w:rsid w:val="00971048"/>
    <w:rsid w:val="00971068"/>
    <w:rsid w:val="0097111F"/>
    <w:rsid w:val="0097118B"/>
    <w:rsid w:val="009713EC"/>
    <w:rsid w:val="009719E1"/>
    <w:rsid w:val="00971A55"/>
    <w:rsid w:val="00971A8C"/>
    <w:rsid w:val="00971AEF"/>
    <w:rsid w:val="00971F7D"/>
    <w:rsid w:val="00972289"/>
    <w:rsid w:val="009722DA"/>
    <w:rsid w:val="009722F7"/>
    <w:rsid w:val="00972311"/>
    <w:rsid w:val="00972636"/>
    <w:rsid w:val="0097265D"/>
    <w:rsid w:val="00972732"/>
    <w:rsid w:val="009728ED"/>
    <w:rsid w:val="009728EE"/>
    <w:rsid w:val="009729D5"/>
    <w:rsid w:val="00972B56"/>
    <w:rsid w:val="00972BAB"/>
    <w:rsid w:val="00972F62"/>
    <w:rsid w:val="0097306C"/>
    <w:rsid w:val="0097323C"/>
    <w:rsid w:val="00973329"/>
    <w:rsid w:val="0097355F"/>
    <w:rsid w:val="00973BCD"/>
    <w:rsid w:val="00973C15"/>
    <w:rsid w:val="00973F4E"/>
    <w:rsid w:val="00974046"/>
    <w:rsid w:val="009742DF"/>
    <w:rsid w:val="00974384"/>
    <w:rsid w:val="00974672"/>
    <w:rsid w:val="00974926"/>
    <w:rsid w:val="0097496D"/>
    <w:rsid w:val="00974A51"/>
    <w:rsid w:val="00974B38"/>
    <w:rsid w:val="00974F50"/>
    <w:rsid w:val="00974F9E"/>
    <w:rsid w:val="009752CC"/>
    <w:rsid w:val="0097546C"/>
    <w:rsid w:val="00975700"/>
    <w:rsid w:val="009759D7"/>
    <w:rsid w:val="00975BE5"/>
    <w:rsid w:val="00975D10"/>
    <w:rsid w:val="00975D33"/>
    <w:rsid w:val="00975DC8"/>
    <w:rsid w:val="00975E14"/>
    <w:rsid w:val="009764A5"/>
    <w:rsid w:val="009764AC"/>
    <w:rsid w:val="0097671D"/>
    <w:rsid w:val="00976727"/>
    <w:rsid w:val="009768A5"/>
    <w:rsid w:val="00976971"/>
    <w:rsid w:val="009769EA"/>
    <w:rsid w:val="00976A45"/>
    <w:rsid w:val="00976B6D"/>
    <w:rsid w:val="00976D73"/>
    <w:rsid w:val="00976DF1"/>
    <w:rsid w:val="00976F15"/>
    <w:rsid w:val="00976F9C"/>
    <w:rsid w:val="009771E2"/>
    <w:rsid w:val="00977273"/>
    <w:rsid w:val="0097728C"/>
    <w:rsid w:val="00977397"/>
    <w:rsid w:val="009777EF"/>
    <w:rsid w:val="0097797F"/>
    <w:rsid w:val="00977A4A"/>
    <w:rsid w:val="00977ABF"/>
    <w:rsid w:val="00977C0B"/>
    <w:rsid w:val="00980026"/>
    <w:rsid w:val="0098002A"/>
    <w:rsid w:val="0098008F"/>
    <w:rsid w:val="009801F0"/>
    <w:rsid w:val="0098027A"/>
    <w:rsid w:val="00980288"/>
    <w:rsid w:val="009804C6"/>
    <w:rsid w:val="009807F8"/>
    <w:rsid w:val="00980876"/>
    <w:rsid w:val="009808E4"/>
    <w:rsid w:val="00980AB9"/>
    <w:rsid w:val="00980BE1"/>
    <w:rsid w:val="00980D0F"/>
    <w:rsid w:val="00980F1E"/>
    <w:rsid w:val="00980FD4"/>
    <w:rsid w:val="00981483"/>
    <w:rsid w:val="009814D8"/>
    <w:rsid w:val="00981576"/>
    <w:rsid w:val="009815B9"/>
    <w:rsid w:val="009815E6"/>
    <w:rsid w:val="009815E9"/>
    <w:rsid w:val="00981621"/>
    <w:rsid w:val="0098163D"/>
    <w:rsid w:val="009817FA"/>
    <w:rsid w:val="00981A08"/>
    <w:rsid w:val="00981D5F"/>
    <w:rsid w:val="00981F31"/>
    <w:rsid w:val="009820E6"/>
    <w:rsid w:val="00982266"/>
    <w:rsid w:val="0098250E"/>
    <w:rsid w:val="0098257F"/>
    <w:rsid w:val="009825EF"/>
    <w:rsid w:val="00982A5A"/>
    <w:rsid w:val="00982F0D"/>
    <w:rsid w:val="00982F23"/>
    <w:rsid w:val="009833AC"/>
    <w:rsid w:val="00983838"/>
    <w:rsid w:val="00983D86"/>
    <w:rsid w:val="009843A0"/>
    <w:rsid w:val="009844BD"/>
    <w:rsid w:val="00984581"/>
    <w:rsid w:val="0098469C"/>
    <w:rsid w:val="009848B1"/>
    <w:rsid w:val="00984AD8"/>
    <w:rsid w:val="0098535F"/>
    <w:rsid w:val="009857E9"/>
    <w:rsid w:val="00985DCB"/>
    <w:rsid w:val="00985E56"/>
    <w:rsid w:val="00985F65"/>
    <w:rsid w:val="00985FF4"/>
    <w:rsid w:val="00986035"/>
    <w:rsid w:val="009862C3"/>
    <w:rsid w:val="0098634E"/>
    <w:rsid w:val="009863DF"/>
    <w:rsid w:val="009865F7"/>
    <w:rsid w:val="009865FC"/>
    <w:rsid w:val="0098686F"/>
    <w:rsid w:val="00986C06"/>
    <w:rsid w:val="00986E84"/>
    <w:rsid w:val="00986E89"/>
    <w:rsid w:val="00986F07"/>
    <w:rsid w:val="009870A6"/>
    <w:rsid w:val="0098716E"/>
    <w:rsid w:val="00987187"/>
    <w:rsid w:val="009872B0"/>
    <w:rsid w:val="009872CB"/>
    <w:rsid w:val="009872F4"/>
    <w:rsid w:val="00987627"/>
    <w:rsid w:val="0098787E"/>
    <w:rsid w:val="00987968"/>
    <w:rsid w:val="00987A6F"/>
    <w:rsid w:val="00987D4C"/>
    <w:rsid w:val="00987F7F"/>
    <w:rsid w:val="009902CC"/>
    <w:rsid w:val="0099035C"/>
    <w:rsid w:val="009904FB"/>
    <w:rsid w:val="00990772"/>
    <w:rsid w:val="00990802"/>
    <w:rsid w:val="009908E8"/>
    <w:rsid w:val="00990922"/>
    <w:rsid w:val="00990BCC"/>
    <w:rsid w:val="00990D61"/>
    <w:rsid w:val="009916D4"/>
    <w:rsid w:val="00991712"/>
    <w:rsid w:val="00991CC3"/>
    <w:rsid w:val="00991DD7"/>
    <w:rsid w:val="00991E46"/>
    <w:rsid w:val="009922D3"/>
    <w:rsid w:val="009923AD"/>
    <w:rsid w:val="009923B1"/>
    <w:rsid w:val="0099240B"/>
    <w:rsid w:val="0099267B"/>
    <w:rsid w:val="00992699"/>
    <w:rsid w:val="009932FF"/>
    <w:rsid w:val="009933CD"/>
    <w:rsid w:val="00993534"/>
    <w:rsid w:val="00993670"/>
    <w:rsid w:val="009939BB"/>
    <w:rsid w:val="00993BFC"/>
    <w:rsid w:val="00993C79"/>
    <w:rsid w:val="00993C94"/>
    <w:rsid w:val="00993D8D"/>
    <w:rsid w:val="00993FC3"/>
    <w:rsid w:val="00993FCB"/>
    <w:rsid w:val="0099429E"/>
    <w:rsid w:val="00994361"/>
    <w:rsid w:val="00994511"/>
    <w:rsid w:val="009945DC"/>
    <w:rsid w:val="00994641"/>
    <w:rsid w:val="009947E4"/>
    <w:rsid w:val="00994866"/>
    <w:rsid w:val="00994D96"/>
    <w:rsid w:val="00995281"/>
    <w:rsid w:val="009955B9"/>
    <w:rsid w:val="00995784"/>
    <w:rsid w:val="009957DF"/>
    <w:rsid w:val="0099581A"/>
    <w:rsid w:val="00995BD5"/>
    <w:rsid w:val="00995CE1"/>
    <w:rsid w:val="00995E90"/>
    <w:rsid w:val="00995EAE"/>
    <w:rsid w:val="00996038"/>
    <w:rsid w:val="009961B0"/>
    <w:rsid w:val="009963ED"/>
    <w:rsid w:val="0099669A"/>
    <w:rsid w:val="00996859"/>
    <w:rsid w:val="0099690B"/>
    <w:rsid w:val="00996A5C"/>
    <w:rsid w:val="00996A8E"/>
    <w:rsid w:val="00996C57"/>
    <w:rsid w:val="00996C9E"/>
    <w:rsid w:val="00996DBB"/>
    <w:rsid w:val="00996EBB"/>
    <w:rsid w:val="00996F6B"/>
    <w:rsid w:val="009972D8"/>
    <w:rsid w:val="00997795"/>
    <w:rsid w:val="00997863"/>
    <w:rsid w:val="0099793D"/>
    <w:rsid w:val="00997986"/>
    <w:rsid w:val="00997B7B"/>
    <w:rsid w:val="00997CD3"/>
    <w:rsid w:val="00997F29"/>
    <w:rsid w:val="009A054D"/>
    <w:rsid w:val="009A07E8"/>
    <w:rsid w:val="009A091C"/>
    <w:rsid w:val="009A0947"/>
    <w:rsid w:val="009A0A97"/>
    <w:rsid w:val="009A0BC2"/>
    <w:rsid w:val="009A0D28"/>
    <w:rsid w:val="009A0D6F"/>
    <w:rsid w:val="009A0D94"/>
    <w:rsid w:val="009A0FA2"/>
    <w:rsid w:val="009A1097"/>
    <w:rsid w:val="009A10FE"/>
    <w:rsid w:val="009A1104"/>
    <w:rsid w:val="009A1370"/>
    <w:rsid w:val="009A14E4"/>
    <w:rsid w:val="009A150D"/>
    <w:rsid w:val="009A1558"/>
    <w:rsid w:val="009A15EE"/>
    <w:rsid w:val="009A1761"/>
    <w:rsid w:val="009A1934"/>
    <w:rsid w:val="009A1BF1"/>
    <w:rsid w:val="009A1C03"/>
    <w:rsid w:val="009A1CAD"/>
    <w:rsid w:val="009A1D69"/>
    <w:rsid w:val="009A1D8C"/>
    <w:rsid w:val="009A1E67"/>
    <w:rsid w:val="009A2274"/>
    <w:rsid w:val="009A273A"/>
    <w:rsid w:val="009A29B3"/>
    <w:rsid w:val="009A2AC2"/>
    <w:rsid w:val="009A2AE3"/>
    <w:rsid w:val="009A2BB5"/>
    <w:rsid w:val="009A2D37"/>
    <w:rsid w:val="009A300B"/>
    <w:rsid w:val="009A3040"/>
    <w:rsid w:val="009A32D6"/>
    <w:rsid w:val="009A35CC"/>
    <w:rsid w:val="009A38D7"/>
    <w:rsid w:val="009A39AF"/>
    <w:rsid w:val="009A3B7A"/>
    <w:rsid w:val="009A3EC5"/>
    <w:rsid w:val="009A4167"/>
    <w:rsid w:val="009A4261"/>
    <w:rsid w:val="009A42C2"/>
    <w:rsid w:val="009A4479"/>
    <w:rsid w:val="009A4481"/>
    <w:rsid w:val="009A45D4"/>
    <w:rsid w:val="009A484E"/>
    <w:rsid w:val="009A48D5"/>
    <w:rsid w:val="009A4999"/>
    <w:rsid w:val="009A4A60"/>
    <w:rsid w:val="009A4AB6"/>
    <w:rsid w:val="009A4BC0"/>
    <w:rsid w:val="009A4C29"/>
    <w:rsid w:val="009A4C37"/>
    <w:rsid w:val="009A4D38"/>
    <w:rsid w:val="009A4E75"/>
    <w:rsid w:val="009A4E91"/>
    <w:rsid w:val="009A50DE"/>
    <w:rsid w:val="009A5160"/>
    <w:rsid w:val="009A519F"/>
    <w:rsid w:val="009A5331"/>
    <w:rsid w:val="009A53C5"/>
    <w:rsid w:val="009A55E2"/>
    <w:rsid w:val="009A5627"/>
    <w:rsid w:val="009A5707"/>
    <w:rsid w:val="009A5850"/>
    <w:rsid w:val="009A5955"/>
    <w:rsid w:val="009A5E28"/>
    <w:rsid w:val="009A5EFE"/>
    <w:rsid w:val="009A5FA7"/>
    <w:rsid w:val="009A6105"/>
    <w:rsid w:val="009A6485"/>
    <w:rsid w:val="009A654E"/>
    <w:rsid w:val="009A655A"/>
    <w:rsid w:val="009A6656"/>
    <w:rsid w:val="009A67D7"/>
    <w:rsid w:val="009A67EA"/>
    <w:rsid w:val="009A6844"/>
    <w:rsid w:val="009A689F"/>
    <w:rsid w:val="009A6916"/>
    <w:rsid w:val="009A6B2C"/>
    <w:rsid w:val="009A6B46"/>
    <w:rsid w:val="009A6B89"/>
    <w:rsid w:val="009A6B8A"/>
    <w:rsid w:val="009A6BAD"/>
    <w:rsid w:val="009A6CB7"/>
    <w:rsid w:val="009A6E89"/>
    <w:rsid w:val="009A6EDC"/>
    <w:rsid w:val="009A73B4"/>
    <w:rsid w:val="009A7825"/>
    <w:rsid w:val="009A7A26"/>
    <w:rsid w:val="009A7B67"/>
    <w:rsid w:val="009A7BC6"/>
    <w:rsid w:val="009A7D37"/>
    <w:rsid w:val="009A7D6D"/>
    <w:rsid w:val="009B05F7"/>
    <w:rsid w:val="009B0A70"/>
    <w:rsid w:val="009B0D6D"/>
    <w:rsid w:val="009B0E0C"/>
    <w:rsid w:val="009B0EF4"/>
    <w:rsid w:val="009B1516"/>
    <w:rsid w:val="009B1706"/>
    <w:rsid w:val="009B185A"/>
    <w:rsid w:val="009B1B20"/>
    <w:rsid w:val="009B1C09"/>
    <w:rsid w:val="009B1C9C"/>
    <w:rsid w:val="009B1FBB"/>
    <w:rsid w:val="009B2230"/>
    <w:rsid w:val="009B22A4"/>
    <w:rsid w:val="009B24B2"/>
    <w:rsid w:val="009B24F1"/>
    <w:rsid w:val="009B286D"/>
    <w:rsid w:val="009B2CD0"/>
    <w:rsid w:val="009B312D"/>
    <w:rsid w:val="009B31A5"/>
    <w:rsid w:val="009B346C"/>
    <w:rsid w:val="009B3470"/>
    <w:rsid w:val="009B35BE"/>
    <w:rsid w:val="009B35ED"/>
    <w:rsid w:val="009B3634"/>
    <w:rsid w:val="009B367B"/>
    <w:rsid w:val="009B3A2E"/>
    <w:rsid w:val="009B3A38"/>
    <w:rsid w:val="009B3B27"/>
    <w:rsid w:val="009B3B56"/>
    <w:rsid w:val="009B3D28"/>
    <w:rsid w:val="009B3FAF"/>
    <w:rsid w:val="009B3FD7"/>
    <w:rsid w:val="009B424B"/>
    <w:rsid w:val="009B42B0"/>
    <w:rsid w:val="009B42ED"/>
    <w:rsid w:val="009B439B"/>
    <w:rsid w:val="009B4610"/>
    <w:rsid w:val="009B46CF"/>
    <w:rsid w:val="009B4700"/>
    <w:rsid w:val="009B47FB"/>
    <w:rsid w:val="009B48BE"/>
    <w:rsid w:val="009B4A31"/>
    <w:rsid w:val="009B4BB4"/>
    <w:rsid w:val="009B4D8A"/>
    <w:rsid w:val="009B5281"/>
    <w:rsid w:val="009B5797"/>
    <w:rsid w:val="009B58A2"/>
    <w:rsid w:val="009B5A38"/>
    <w:rsid w:val="009B5A80"/>
    <w:rsid w:val="009B5B60"/>
    <w:rsid w:val="009B5BBE"/>
    <w:rsid w:val="009B5DE2"/>
    <w:rsid w:val="009B5F5B"/>
    <w:rsid w:val="009B6187"/>
    <w:rsid w:val="009B61EC"/>
    <w:rsid w:val="009B64DE"/>
    <w:rsid w:val="009B65DC"/>
    <w:rsid w:val="009B66A8"/>
    <w:rsid w:val="009B68E0"/>
    <w:rsid w:val="009B6956"/>
    <w:rsid w:val="009B6C6E"/>
    <w:rsid w:val="009B6D83"/>
    <w:rsid w:val="009B6F75"/>
    <w:rsid w:val="009B7465"/>
    <w:rsid w:val="009B7497"/>
    <w:rsid w:val="009B76BE"/>
    <w:rsid w:val="009B7866"/>
    <w:rsid w:val="009B7AD8"/>
    <w:rsid w:val="009B7E4B"/>
    <w:rsid w:val="009B7F53"/>
    <w:rsid w:val="009C007C"/>
    <w:rsid w:val="009C011B"/>
    <w:rsid w:val="009C0173"/>
    <w:rsid w:val="009C019D"/>
    <w:rsid w:val="009C02F9"/>
    <w:rsid w:val="009C054D"/>
    <w:rsid w:val="009C05DB"/>
    <w:rsid w:val="009C0A53"/>
    <w:rsid w:val="009C0A76"/>
    <w:rsid w:val="009C0AF5"/>
    <w:rsid w:val="009C0CCF"/>
    <w:rsid w:val="009C0E0F"/>
    <w:rsid w:val="009C10F9"/>
    <w:rsid w:val="009C13EA"/>
    <w:rsid w:val="009C1649"/>
    <w:rsid w:val="009C16EA"/>
    <w:rsid w:val="009C171B"/>
    <w:rsid w:val="009C1C0D"/>
    <w:rsid w:val="009C1E45"/>
    <w:rsid w:val="009C214F"/>
    <w:rsid w:val="009C220D"/>
    <w:rsid w:val="009C22A1"/>
    <w:rsid w:val="009C251D"/>
    <w:rsid w:val="009C277C"/>
    <w:rsid w:val="009C2808"/>
    <w:rsid w:val="009C2847"/>
    <w:rsid w:val="009C2949"/>
    <w:rsid w:val="009C29A4"/>
    <w:rsid w:val="009C2B98"/>
    <w:rsid w:val="009C2C85"/>
    <w:rsid w:val="009C2D76"/>
    <w:rsid w:val="009C2E27"/>
    <w:rsid w:val="009C2E77"/>
    <w:rsid w:val="009C3589"/>
    <w:rsid w:val="009C373E"/>
    <w:rsid w:val="009C37DF"/>
    <w:rsid w:val="009C37E3"/>
    <w:rsid w:val="009C3AEA"/>
    <w:rsid w:val="009C3CBA"/>
    <w:rsid w:val="009C3D6C"/>
    <w:rsid w:val="009C3E25"/>
    <w:rsid w:val="009C402C"/>
    <w:rsid w:val="009C408A"/>
    <w:rsid w:val="009C4109"/>
    <w:rsid w:val="009C431C"/>
    <w:rsid w:val="009C45B1"/>
    <w:rsid w:val="009C4651"/>
    <w:rsid w:val="009C472F"/>
    <w:rsid w:val="009C4756"/>
    <w:rsid w:val="009C48E1"/>
    <w:rsid w:val="009C4B75"/>
    <w:rsid w:val="009C5000"/>
    <w:rsid w:val="009C5018"/>
    <w:rsid w:val="009C56B3"/>
    <w:rsid w:val="009C5A4E"/>
    <w:rsid w:val="009C5AA5"/>
    <w:rsid w:val="009C5AD6"/>
    <w:rsid w:val="009C5B47"/>
    <w:rsid w:val="009C5EC7"/>
    <w:rsid w:val="009C60AB"/>
    <w:rsid w:val="009C6113"/>
    <w:rsid w:val="009C630B"/>
    <w:rsid w:val="009C659B"/>
    <w:rsid w:val="009C6630"/>
    <w:rsid w:val="009C69B1"/>
    <w:rsid w:val="009C709A"/>
    <w:rsid w:val="009C7117"/>
    <w:rsid w:val="009C720B"/>
    <w:rsid w:val="009C723E"/>
    <w:rsid w:val="009C731F"/>
    <w:rsid w:val="009C73BC"/>
    <w:rsid w:val="009C78D4"/>
    <w:rsid w:val="009C7A24"/>
    <w:rsid w:val="009C7C88"/>
    <w:rsid w:val="009C7FA4"/>
    <w:rsid w:val="009D0141"/>
    <w:rsid w:val="009D0143"/>
    <w:rsid w:val="009D02F4"/>
    <w:rsid w:val="009D0430"/>
    <w:rsid w:val="009D04DF"/>
    <w:rsid w:val="009D0659"/>
    <w:rsid w:val="009D06FF"/>
    <w:rsid w:val="009D07C9"/>
    <w:rsid w:val="009D0803"/>
    <w:rsid w:val="009D0805"/>
    <w:rsid w:val="009D0D86"/>
    <w:rsid w:val="009D156B"/>
    <w:rsid w:val="009D166C"/>
    <w:rsid w:val="009D1A84"/>
    <w:rsid w:val="009D1D0B"/>
    <w:rsid w:val="009D1F0E"/>
    <w:rsid w:val="009D24D1"/>
    <w:rsid w:val="009D264D"/>
    <w:rsid w:val="009D27E8"/>
    <w:rsid w:val="009D2B6B"/>
    <w:rsid w:val="009D2BED"/>
    <w:rsid w:val="009D2C08"/>
    <w:rsid w:val="009D325A"/>
    <w:rsid w:val="009D3525"/>
    <w:rsid w:val="009D38A0"/>
    <w:rsid w:val="009D38BA"/>
    <w:rsid w:val="009D39EF"/>
    <w:rsid w:val="009D3B1D"/>
    <w:rsid w:val="009D3D7F"/>
    <w:rsid w:val="009D40B4"/>
    <w:rsid w:val="009D41EE"/>
    <w:rsid w:val="009D423A"/>
    <w:rsid w:val="009D461E"/>
    <w:rsid w:val="009D46AC"/>
    <w:rsid w:val="009D470C"/>
    <w:rsid w:val="009D486F"/>
    <w:rsid w:val="009D4B02"/>
    <w:rsid w:val="009D4D1D"/>
    <w:rsid w:val="009D4D40"/>
    <w:rsid w:val="009D522E"/>
    <w:rsid w:val="009D5415"/>
    <w:rsid w:val="009D542E"/>
    <w:rsid w:val="009D5433"/>
    <w:rsid w:val="009D5485"/>
    <w:rsid w:val="009D5602"/>
    <w:rsid w:val="009D5662"/>
    <w:rsid w:val="009D58B7"/>
    <w:rsid w:val="009D58D5"/>
    <w:rsid w:val="009D5D51"/>
    <w:rsid w:val="009D5E28"/>
    <w:rsid w:val="009D5EF0"/>
    <w:rsid w:val="009D5EFE"/>
    <w:rsid w:val="009D5EFF"/>
    <w:rsid w:val="009D5F06"/>
    <w:rsid w:val="009D5F5F"/>
    <w:rsid w:val="009D61BC"/>
    <w:rsid w:val="009D6460"/>
    <w:rsid w:val="009D65A1"/>
    <w:rsid w:val="009D6656"/>
    <w:rsid w:val="009D669D"/>
    <w:rsid w:val="009D68A2"/>
    <w:rsid w:val="009D6AF8"/>
    <w:rsid w:val="009D6DDA"/>
    <w:rsid w:val="009D705B"/>
    <w:rsid w:val="009D71A0"/>
    <w:rsid w:val="009D7413"/>
    <w:rsid w:val="009D7491"/>
    <w:rsid w:val="009D75B9"/>
    <w:rsid w:val="009D76C2"/>
    <w:rsid w:val="009D78AA"/>
    <w:rsid w:val="009D7968"/>
    <w:rsid w:val="009D7BED"/>
    <w:rsid w:val="009D7C96"/>
    <w:rsid w:val="009E0243"/>
    <w:rsid w:val="009E02FA"/>
    <w:rsid w:val="009E04AC"/>
    <w:rsid w:val="009E0814"/>
    <w:rsid w:val="009E0E7C"/>
    <w:rsid w:val="009E12BA"/>
    <w:rsid w:val="009E179E"/>
    <w:rsid w:val="009E19BC"/>
    <w:rsid w:val="009E1AD2"/>
    <w:rsid w:val="009E1B0D"/>
    <w:rsid w:val="009E1BEF"/>
    <w:rsid w:val="009E1C2E"/>
    <w:rsid w:val="009E1CAD"/>
    <w:rsid w:val="009E1DE6"/>
    <w:rsid w:val="009E2024"/>
    <w:rsid w:val="009E2137"/>
    <w:rsid w:val="009E2252"/>
    <w:rsid w:val="009E2310"/>
    <w:rsid w:val="009E259E"/>
    <w:rsid w:val="009E25FA"/>
    <w:rsid w:val="009E275E"/>
    <w:rsid w:val="009E29CC"/>
    <w:rsid w:val="009E2D00"/>
    <w:rsid w:val="009E2F38"/>
    <w:rsid w:val="009E2F68"/>
    <w:rsid w:val="009E3157"/>
    <w:rsid w:val="009E33DB"/>
    <w:rsid w:val="009E353F"/>
    <w:rsid w:val="009E3821"/>
    <w:rsid w:val="009E3B68"/>
    <w:rsid w:val="009E3E15"/>
    <w:rsid w:val="009E3E9A"/>
    <w:rsid w:val="009E40A6"/>
    <w:rsid w:val="009E40FB"/>
    <w:rsid w:val="009E42BB"/>
    <w:rsid w:val="009E4421"/>
    <w:rsid w:val="009E4450"/>
    <w:rsid w:val="009E44FE"/>
    <w:rsid w:val="009E4546"/>
    <w:rsid w:val="009E4678"/>
    <w:rsid w:val="009E47AE"/>
    <w:rsid w:val="009E4B58"/>
    <w:rsid w:val="009E4BF9"/>
    <w:rsid w:val="009E4DAF"/>
    <w:rsid w:val="009E4E7F"/>
    <w:rsid w:val="009E4FB4"/>
    <w:rsid w:val="009E500B"/>
    <w:rsid w:val="009E5410"/>
    <w:rsid w:val="009E5420"/>
    <w:rsid w:val="009E552B"/>
    <w:rsid w:val="009E5659"/>
    <w:rsid w:val="009E595D"/>
    <w:rsid w:val="009E5B8D"/>
    <w:rsid w:val="009E5C09"/>
    <w:rsid w:val="009E648F"/>
    <w:rsid w:val="009E64DD"/>
    <w:rsid w:val="009E65C9"/>
    <w:rsid w:val="009E6938"/>
    <w:rsid w:val="009E6C27"/>
    <w:rsid w:val="009E6E1D"/>
    <w:rsid w:val="009E6FC0"/>
    <w:rsid w:val="009E6FFF"/>
    <w:rsid w:val="009E7262"/>
    <w:rsid w:val="009E77A8"/>
    <w:rsid w:val="009E7899"/>
    <w:rsid w:val="009E7A4D"/>
    <w:rsid w:val="009F0132"/>
    <w:rsid w:val="009F0225"/>
    <w:rsid w:val="009F0277"/>
    <w:rsid w:val="009F05E0"/>
    <w:rsid w:val="009F065E"/>
    <w:rsid w:val="009F073E"/>
    <w:rsid w:val="009F0B61"/>
    <w:rsid w:val="009F0C09"/>
    <w:rsid w:val="009F0DEB"/>
    <w:rsid w:val="009F0DFA"/>
    <w:rsid w:val="009F10E3"/>
    <w:rsid w:val="009F1791"/>
    <w:rsid w:val="009F196D"/>
    <w:rsid w:val="009F1C8A"/>
    <w:rsid w:val="009F1CA0"/>
    <w:rsid w:val="009F2019"/>
    <w:rsid w:val="009F210B"/>
    <w:rsid w:val="009F260B"/>
    <w:rsid w:val="009F2A88"/>
    <w:rsid w:val="009F2A8F"/>
    <w:rsid w:val="009F2B8C"/>
    <w:rsid w:val="009F2BA7"/>
    <w:rsid w:val="009F2E25"/>
    <w:rsid w:val="009F30DF"/>
    <w:rsid w:val="009F31D2"/>
    <w:rsid w:val="009F323F"/>
    <w:rsid w:val="009F341B"/>
    <w:rsid w:val="009F3494"/>
    <w:rsid w:val="009F3526"/>
    <w:rsid w:val="009F37CD"/>
    <w:rsid w:val="009F388E"/>
    <w:rsid w:val="009F3C7A"/>
    <w:rsid w:val="009F3CB3"/>
    <w:rsid w:val="009F3DFB"/>
    <w:rsid w:val="009F3E33"/>
    <w:rsid w:val="009F3E83"/>
    <w:rsid w:val="009F3EF3"/>
    <w:rsid w:val="009F4030"/>
    <w:rsid w:val="009F431C"/>
    <w:rsid w:val="009F4628"/>
    <w:rsid w:val="009F497D"/>
    <w:rsid w:val="009F498C"/>
    <w:rsid w:val="009F4B76"/>
    <w:rsid w:val="009F4C2E"/>
    <w:rsid w:val="009F4DAD"/>
    <w:rsid w:val="009F4E35"/>
    <w:rsid w:val="009F4EE4"/>
    <w:rsid w:val="009F4EED"/>
    <w:rsid w:val="009F5073"/>
    <w:rsid w:val="009F512D"/>
    <w:rsid w:val="009F5196"/>
    <w:rsid w:val="009F51D3"/>
    <w:rsid w:val="009F5390"/>
    <w:rsid w:val="009F572E"/>
    <w:rsid w:val="009F5843"/>
    <w:rsid w:val="009F59EF"/>
    <w:rsid w:val="009F5BBB"/>
    <w:rsid w:val="009F5C06"/>
    <w:rsid w:val="009F5E28"/>
    <w:rsid w:val="009F5EA0"/>
    <w:rsid w:val="009F6078"/>
    <w:rsid w:val="009F60F1"/>
    <w:rsid w:val="009F6461"/>
    <w:rsid w:val="009F682D"/>
    <w:rsid w:val="009F68D4"/>
    <w:rsid w:val="009F6AF6"/>
    <w:rsid w:val="009F6B40"/>
    <w:rsid w:val="009F6D11"/>
    <w:rsid w:val="009F73F5"/>
    <w:rsid w:val="009F74B0"/>
    <w:rsid w:val="009F753E"/>
    <w:rsid w:val="009F766A"/>
    <w:rsid w:val="009F7A0B"/>
    <w:rsid w:val="00A00103"/>
    <w:rsid w:val="00A0047D"/>
    <w:rsid w:val="00A00551"/>
    <w:rsid w:val="00A00663"/>
    <w:rsid w:val="00A00D74"/>
    <w:rsid w:val="00A00E59"/>
    <w:rsid w:val="00A00EBC"/>
    <w:rsid w:val="00A00EFD"/>
    <w:rsid w:val="00A00FD9"/>
    <w:rsid w:val="00A01150"/>
    <w:rsid w:val="00A012A5"/>
    <w:rsid w:val="00A01356"/>
    <w:rsid w:val="00A0136C"/>
    <w:rsid w:val="00A0159B"/>
    <w:rsid w:val="00A015F1"/>
    <w:rsid w:val="00A016B0"/>
    <w:rsid w:val="00A0171E"/>
    <w:rsid w:val="00A019BB"/>
    <w:rsid w:val="00A01FEC"/>
    <w:rsid w:val="00A0204A"/>
    <w:rsid w:val="00A02100"/>
    <w:rsid w:val="00A02226"/>
    <w:rsid w:val="00A02B8D"/>
    <w:rsid w:val="00A02D12"/>
    <w:rsid w:val="00A02EA4"/>
    <w:rsid w:val="00A02F7C"/>
    <w:rsid w:val="00A02FBB"/>
    <w:rsid w:val="00A02FD9"/>
    <w:rsid w:val="00A0301A"/>
    <w:rsid w:val="00A03081"/>
    <w:rsid w:val="00A0308E"/>
    <w:rsid w:val="00A031A0"/>
    <w:rsid w:val="00A035C9"/>
    <w:rsid w:val="00A0393A"/>
    <w:rsid w:val="00A03C52"/>
    <w:rsid w:val="00A03D49"/>
    <w:rsid w:val="00A03EDB"/>
    <w:rsid w:val="00A03F6B"/>
    <w:rsid w:val="00A0402F"/>
    <w:rsid w:val="00A04085"/>
    <w:rsid w:val="00A042E0"/>
    <w:rsid w:val="00A045FE"/>
    <w:rsid w:val="00A048BE"/>
    <w:rsid w:val="00A048C4"/>
    <w:rsid w:val="00A04BF2"/>
    <w:rsid w:val="00A04D36"/>
    <w:rsid w:val="00A05408"/>
    <w:rsid w:val="00A057B7"/>
    <w:rsid w:val="00A0595E"/>
    <w:rsid w:val="00A05B1C"/>
    <w:rsid w:val="00A05C61"/>
    <w:rsid w:val="00A05E1B"/>
    <w:rsid w:val="00A05E28"/>
    <w:rsid w:val="00A06073"/>
    <w:rsid w:val="00A0634E"/>
    <w:rsid w:val="00A064FB"/>
    <w:rsid w:val="00A0658A"/>
    <w:rsid w:val="00A065CB"/>
    <w:rsid w:val="00A0689F"/>
    <w:rsid w:val="00A06D2E"/>
    <w:rsid w:val="00A06FB5"/>
    <w:rsid w:val="00A0718C"/>
    <w:rsid w:val="00A073A8"/>
    <w:rsid w:val="00A07630"/>
    <w:rsid w:val="00A07860"/>
    <w:rsid w:val="00A078C4"/>
    <w:rsid w:val="00A079D8"/>
    <w:rsid w:val="00A079FA"/>
    <w:rsid w:val="00A07A4B"/>
    <w:rsid w:val="00A07B89"/>
    <w:rsid w:val="00A07BDD"/>
    <w:rsid w:val="00A07D26"/>
    <w:rsid w:val="00A07DCA"/>
    <w:rsid w:val="00A07EF4"/>
    <w:rsid w:val="00A10098"/>
    <w:rsid w:val="00A100D9"/>
    <w:rsid w:val="00A101F7"/>
    <w:rsid w:val="00A1023A"/>
    <w:rsid w:val="00A104DC"/>
    <w:rsid w:val="00A10551"/>
    <w:rsid w:val="00A10601"/>
    <w:rsid w:val="00A10BB1"/>
    <w:rsid w:val="00A10BCA"/>
    <w:rsid w:val="00A10CE2"/>
    <w:rsid w:val="00A10DD8"/>
    <w:rsid w:val="00A10E80"/>
    <w:rsid w:val="00A11789"/>
    <w:rsid w:val="00A117C1"/>
    <w:rsid w:val="00A11AEC"/>
    <w:rsid w:val="00A11B3C"/>
    <w:rsid w:val="00A11E95"/>
    <w:rsid w:val="00A11ECD"/>
    <w:rsid w:val="00A1213C"/>
    <w:rsid w:val="00A1221F"/>
    <w:rsid w:val="00A12232"/>
    <w:rsid w:val="00A123B3"/>
    <w:rsid w:val="00A1277E"/>
    <w:rsid w:val="00A127E0"/>
    <w:rsid w:val="00A12826"/>
    <w:rsid w:val="00A12913"/>
    <w:rsid w:val="00A1297F"/>
    <w:rsid w:val="00A12B6B"/>
    <w:rsid w:val="00A1321D"/>
    <w:rsid w:val="00A135DC"/>
    <w:rsid w:val="00A13879"/>
    <w:rsid w:val="00A138E1"/>
    <w:rsid w:val="00A139AA"/>
    <w:rsid w:val="00A139B1"/>
    <w:rsid w:val="00A13A74"/>
    <w:rsid w:val="00A13D24"/>
    <w:rsid w:val="00A13F3C"/>
    <w:rsid w:val="00A1405D"/>
    <w:rsid w:val="00A144D8"/>
    <w:rsid w:val="00A1456B"/>
    <w:rsid w:val="00A14597"/>
    <w:rsid w:val="00A14883"/>
    <w:rsid w:val="00A14AB0"/>
    <w:rsid w:val="00A14C60"/>
    <w:rsid w:val="00A14D11"/>
    <w:rsid w:val="00A14DB6"/>
    <w:rsid w:val="00A14E0C"/>
    <w:rsid w:val="00A14E51"/>
    <w:rsid w:val="00A14F39"/>
    <w:rsid w:val="00A1549C"/>
    <w:rsid w:val="00A15580"/>
    <w:rsid w:val="00A15652"/>
    <w:rsid w:val="00A156B8"/>
    <w:rsid w:val="00A15875"/>
    <w:rsid w:val="00A15C01"/>
    <w:rsid w:val="00A15CE9"/>
    <w:rsid w:val="00A15E3D"/>
    <w:rsid w:val="00A15F9F"/>
    <w:rsid w:val="00A16042"/>
    <w:rsid w:val="00A1632D"/>
    <w:rsid w:val="00A1667D"/>
    <w:rsid w:val="00A169B3"/>
    <w:rsid w:val="00A16B84"/>
    <w:rsid w:val="00A16BD2"/>
    <w:rsid w:val="00A16CE1"/>
    <w:rsid w:val="00A17263"/>
    <w:rsid w:val="00A17426"/>
    <w:rsid w:val="00A17475"/>
    <w:rsid w:val="00A17571"/>
    <w:rsid w:val="00A177CA"/>
    <w:rsid w:val="00A177D2"/>
    <w:rsid w:val="00A17825"/>
    <w:rsid w:val="00A17845"/>
    <w:rsid w:val="00A17C7F"/>
    <w:rsid w:val="00A2019C"/>
    <w:rsid w:val="00A2056C"/>
    <w:rsid w:val="00A205DA"/>
    <w:rsid w:val="00A206C9"/>
    <w:rsid w:val="00A20739"/>
    <w:rsid w:val="00A20CB0"/>
    <w:rsid w:val="00A20DAB"/>
    <w:rsid w:val="00A20F2B"/>
    <w:rsid w:val="00A20F59"/>
    <w:rsid w:val="00A210A2"/>
    <w:rsid w:val="00A21158"/>
    <w:rsid w:val="00A21463"/>
    <w:rsid w:val="00A214EA"/>
    <w:rsid w:val="00A21531"/>
    <w:rsid w:val="00A217F8"/>
    <w:rsid w:val="00A21804"/>
    <w:rsid w:val="00A21866"/>
    <w:rsid w:val="00A218C4"/>
    <w:rsid w:val="00A21BEC"/>
    <w:rsid w:val="00A21DCB"/>
    <w:rsid w:val="00A21E3E"/>
    <w:rsid w:val="00A22078"/>
    <w:rsid w:val="00A22178"/>
    <w:rsid w:val="00A2223D"/>
    <w:rsid w:val="00A22268"/>
    <w:rsid w:val="00A2232C"/>
    <w:rsid w:val="00A223D5"/>
    <w:rsid w:val="00A225AB"/>
    <w:rsid w:val="00A22620"/>
    <w:rsid w:val="00A2288F"/>
    <w:rsid w:val="00A22A90"/>
    <w:rsid w:val="00A22AA4"/>
    <w:rsid w:val="00A22D6B"/>
    <w:rsid w:val="00A22FBA"/>
    <w:rsid w:val="00A230BB"/>
    <w:rsid w:val="00A2325E"/>
    <w:rsid w:val="00A23605"/>
    <w:rsid w:val="00A237E2"/>
    <w:rsid w:val="00A238BB"/>
    <w:rsid w:val="00A23956"/>
    <w:rsid w:val="00A23AB0"/>
    <w:rsid w:val="00A23C33"/>
    <w:rsid w:val="00A23C71"/>
    <w:rsid w:val="00A23D0F"/>
    <w:rsid w:val="00A23DAB"/>
    <w:rsid w:val="00A23E00"/>
    <w:rsid w:val="00A23EBC"/>
    <w:rsid w:val="00A241C9"/>
    <w:rsid w:val="00A24298"/>
    <w:rsid w:val="00A24590"/>
    <w:rsid w:val="00A24EA7"/>
    <w:rsid w:val="00A251CA"/>
    <w:rsid w:val="00A251E8"/>
    <w:rsid w:val="00A25212"/>
    <w:rsid w:val="00A259EC"/>
    <w:rsid w:val="00A25A7E"/>
    <w:rsid w:val="00A25BA8"/>
    <w:rsid w:val="00A25D75"/>
    <w:rsid w:val="00A25E58"/>
    <w:rsid w:val="00A25E6F"/>
    <w:rsid w:val="00A25F61"/>
    <w:rsid w:val="00A25FDC"/>
    <w:rsid w:val="00A260A0"/>
    <w:rsid w:val="00A26109"/>
    <w:rsid w:val="00A264DD"/>
    <w:rsid w:val="00A2669A"/>
    <w:rsid w:val="00A26F5B"/>
    <w:rsid w:val="00A26FCF"/>
    <w:rsid w:val="00A2708E"/>
    <w:rsid w:val="00A27351"/>
    <w:rsid w:val="00A273E7"/>
    <w:rsid w:val="00A273FF"/>
    <w:rsid w:val="00A274FE"/>
    <w:rsid w:val="00A27A18"/>
    <w:rsid w:val="00A27A4B"/>
    <w:rsid w:val="00A27A97"/>
    <w:rsid w:val="00A27ABA"/>
    <w:rsid w:val="00A27BBC"/>
    <w:rsid w:val="00A27C0A"/>
    <w:rsid w:val="00A3011E"/>
    <w:rsid w:val="00A30212"/>
    <w:rsid w:val="00A3026F"/>
    <w:rsid w:val="00A302ED"/>
    <w:rsid w:val="00A303D3"/>
    <w:rsid w:val="00A304B9"/>
    <w:rsid w:val="00A30609"/>
    <w:rsid w:val="00A3068D"/>
    <w:rsid w:val="00A30909"/>
    <w:rsid w:val="00A30B07"/>
    <w:rsid w:val="00A3100B"/>
    <w:rsid w:val="00A31023"/>
    <w:rsid w:val="00A31469"/>
    <w:rsid w:val="00A31706"/>
    <w:rsid w:val="00A31853"/>
    <w:rsid w:val="00A31871"/>
    <w:rsid w:val="00A31B72"/>
    <w:rsid w:val="00A31CFB"/>
    <w:rsid w:val="00A31E2C"/>
    <w:rsid w:val="00A3237D"/>
    <w:rsid w:val="00A326DF"/>
    <w:rsid w:val="00A328C2"/>
    <w:rsid w:val="00A329AA"/>
    <w:rsid w:val="00A32B19"/>
    <w:rsid w:val="00A32E4A"/>
    <w:rsid w:val="00A32EBC"/>
    <w:rsid w:val="00A33095"/>
    <w:rsid w:val="00A330D1"/>
    <w:rsid w:val="00A33942"/>
    <w:rsid w:val="00A33991"/>
    <w:rsid w:val="00A33F32"/>
    <w:rsid w:val="00A33F8F"/>
    <w:rsid w:val="00A33F9D"/>
    <w:rsid w:val="00A341BA"/>
    <w:rsid w:val="00A34416"/>
    <w:rsid w:val="00A34649"/>
    <w:rsid w:val="00A3474F"/>
    <w:rsid w:val="00A34F33"/>
    <w:rsid w:val="00A35A0C"/>
    <w:rsid w:val="00A35A8C"/>
    <w:rsid w:val="00A35FE7"/>
    <w:rsid w:val="00A36077"/>
    <w:rsid w:val="00A3608D"/>
    <w:rsid w:val="00A360B6"/>
    <w:rsid w:val="00A36132"/>
    <w:rsid w:val="00A361ED"/>
    <w:rsid w:val="00A36346"/>
    <w:rsid w:val="00A364C7"/>
    <w:rsid w:val="00A365B1"/>
    <w:rsid w:val="00A36621"/>
    <w:rsid w:val="00A36967"/>
    <w:rsid w:val="00A369AC"/>
    <w:rsid w:val="00A36BCB"/>
    <w:rsid w:val="00A36BDA"/>
    <w:rsid w:val="00A36CBB"/>
    <w:rsid w:val="00A36CDD"/>
    <w:rsid w:val="00A36FCA"/>
    <w:rsid w:val="00A3726B"/>
    <w:rsid w:val="00A374BC"/>
    <w:rsid w:val="00A37699"/>
    <w:rsid w:val="00A37717"/>
    <w:rsid w:val="00A379AB"/>
    <w:rsid w:val="00A40009"/>
    <w:rsid w:val="00A4004A"/>
    <w:rsid w:val="00A401B1"/>
    <w:rsid w:val="00A4037E"/>
    <w:rsid w:val="00A4038E"/>
    <w:rsid w:val="00A40580"/>
    <w:rsid w:val="00A40627"/>
    <w:rsid w:val="00A40636"/>
    <w:rsid w:val="00A40B4A"/>
    <w:rsid w:val="00A40DE2"/>
    <w:rsid w:val="00A40F77"/>
    <w:rsid w:val="00A41026"/>
    <w:rsid w:val="00A41328"/>
    <w:rsid w:val="00A41463"/>
    <w:rsid w:val="00A41866"/>
    <w:rsid w:val="00A418D0"/>
    <w:rsid w:val="00A41A2C"/>
    <w:rsid w:val="00A41B0A"/>
    <w:rsid w:val="00A41B54"/>
    <w:rsid w:val="00A42040"/>
    <w:rsid w:val="00A420F7"/>
    <w:rsid w:val="00A42145"/>
    <w:rsid w:val="00A422A6"/>
    <w:rsid w:val="00A422F9"/>
    <w:rsid w:val="00A42434"/>
    <w:rsid w:val="00A42475"/>
    <w:rsid w:val="00A42493"/>
    <w:rsid w:val="00A42556"/>
    <w:rsid w:val="00A426CF"/>
    <w:rsid w:val="00A427DD"/>
    <w:rsid w:val="00A428EE"/>
    <w:rsid w:val="00A42B1C"/>
    <w:rsid w:val="00A42CBD"/>
    <w:rsid w:val="00A42D2E"/>
    <w:rsid w:val="00A42E72"/>
    <w:rsid w:val="00A4319D"/>
    <w:rsid w:val="00A43234"/>
    <w:rsid w:val="00A432D1"/>
    <w:rsid w:val="00A434D5"/>
    <w:rsid w:val="00A4352A"/>
    <w:rsid w:val="00A4398B"/>
    <w:rsid w:val="00A43C52"/>
    <w:rsid w:val="00A43F56"/>
    <w:rsid w:val="00A4404D"/>
    <w:rsid w:val="00A442EE"/>
    <w:rsid w:val="00A4439A"/>
    <w:rsid w:val="00A44900"/>
    <w:rsid w:val="00A44921"/>
    <w:rsid w:val="00A44B39"/>
    <w:rsid w:val="00A44C7F"/>
    <w:rsid w:val="00A44CA5"/>
    <w:rsid w:val="00A4522F"/>
    <w:rsid w:val="00A452AD"/>
    <w:rsid w:val="00A452DA"/>
    <w:rsid w:val="00A453F9"/>
    <w:rsid w:val="00A45979"/>
    <w:rsid w:val="00A459AF"/>
    <w:rsid w:val="00A45C69"/>
    <w:rsid w:val="00A45FF7"/>
    <w:rsid w:val="00A4632B"/>
    <w:rsid w:val="00A4691E"/>
    <w:rsid w:val="00A46AC4"/>
    <w:rsid w:val="00A47064"/>
    <w:rsid w:val="00A470D3"/>
    <w:rsid w:val="00A4763B"/>
    <w:rsid w:val="00A476C4"/>
    <w:rsid w:val="00A47C3C"/>
    <w:rsid w:val="00A47E7C"/>
    <w:rsid w:val="00A47EBC"/>
    <w:rsid w:val="00A5025A"/>
    <w:rsid w:val="00A5027A"/>
    <w:rsid w:val="00A50410"/>
    <w:rsid w:val="00A50456"/>
    <w:rsid w:val="00A50570"/>
    <w:rsid w:val="00A50629"/>
    <w:rsid w:val="00A50790"/>
    <w:rsid w:val="00A508D3"/>
    <w:rsid w:val="00A50A78"/>
    <w:rsid w:val="00A50C5D"/>
    <w:rsid w:val="00A50D17"/>
    <w:rsid w:val="00A50D9A"/>
    <w:rsid w:val="00A50DDF"/>
    <w:rsid w:val="00A510CC"/>
    <w:rsid w:val="00A5128B"/>
    <w:rsid w:val="00A5147E"/>
    <w:rsid w:val="00A5195D"/>
    <w:rsid w:val="00A51A5C"/>
    <w:rsid w:val="00A51C1A"/>
    <w:rsid w:val="00A51C67"/>
    <w:rsid w:val="00A51E33"/>
    <w:rsid w:val="00A51FFA"/>
    <w:rsid w:val="00A5202A"/>
    <w:rsid w:val="00A521A9"/>
    <w:rsid w:val="00A52416"/>
    <w:rsid w:val="00A52585"/>
    <w:rsid w:val="00A52CDD"/>
    <w:rsid w:val="00A52D17"/>
    <w:rsid w:val="00A52E7C"/>
    <w:rsid w:val="00A52FA4"/>
    <w:rsid w:val="00A53066"/>
    <w:rsid w:val="00A5313C"/>
    <w:rsid w:val="00A53245"/>
    <w:rsid w:val="00A53633"/>
    <w:rsid w:val="00A53730"/>
    <w:rsid w:val="00A538F2"/>
    <w:rsid w:val="00A53B2D"/>
    <w:rsid w:val="00A53D43"/>
    <w:rsid w:val="00A53F73"/>
    <w:rsid w:val="00A5421A"/>
    <w:rsid w:val="00A544BD"/>
    <w:rsid w:val="00A54751"/>
    <w:rsid w:val="00A54869"/>
    <w:rsid w:val="00A54BAF"/>
    <w:rsid w:val="00A54BD9"/>
    <w:rsid w:val="00A54CA0"/>
    <w:rsid w:val="00A54FAD"/>
    <w:rsid w:val="00A55454"/>
    <w:rsid w:val="00A556C9"/>
    <w:rsid w:val="00A557FC"/>
    <w:rsid w:val="00A55991"/>
    <w:rsid w:val="00A55A66"/>
    <w:rsid w:val="00A55A7C"/>
    <w:rsid w:val="00A55AE8"/>
    <w:rsid w:val="00A55BF5"/>
    <w:rsid w:val="00A55CB3"/>
    <w:rsid w:val="00A55D2A"/>
    <w:rsid w:val="00A55D2C"/>
    <w:rsid w:val="00A55E38"/>
    <w:rsid w:val="00A5672D"/>
    <w:rsid w:val="00A56756"/>
    <w:rsid w:val="00A568F2"/>
    <w:rsid w:val="00A56BD5"/>
    <w:rsid w:val="00A56C63"/>
    <w:rsid w:val="00A56D10"/>
    <w:rsid w:val="00A56D9F"/>
    <w:rsid w:val="00A56E14"/>
    <w:rsid w:val="00A56EA5"/>
    <w:rsid w:val="00A56F2F"/>
    <w:rsid w:val="00A5730D"/>
    <w:rsid w:val="00A573D0"/>
    <w:rsid w:val="00A5753D"/>
    <w:rsid w:val="00A57582"/>
    <w:rsid w:val="00A5783F"/>
    <w:rsid w:val="00A57A00"/>
    <w:rsid w:val="00A57AB0"/>
    <w:rsid w:val="00A57E35"/>
    <w:rsid w:val="00A57F81"/>
    <w:rsid w:val="00A5C270"/>
    <w:rsid w:val="00A6002D"/>
    <w:rsid w:val="00A60166"/>
    <w:rsid w:val="00A6038C"/>
    <w:rsid w:val="00A60479"/>
    <w:rsid w:val="00A60895"/>
    <w:rsid w:val="00A6095A"/>
    <w:rsid w:val="00A6099E"/>
    <w:rsid w:val="00A60EA9"/>
    <w:rsid w:val="00A60F76"/>
    <w:rsid w:val="00A60F7B"/>
    <w:rsid w:val="00A6103F"/>
    <w:rsid w:val="00A613D4"/>
    <w:rsid w:val="00A61620"/>
    <w:rsid w:val="00A616AC"/>
    <w:rsid w:val="00A6188A"/>
    <w:rsid w:val="00A62226"/>
    <w:rsid w:val="00A6235C"/>
    <w:rsid w:val="00A62379"/>
    <w:rsid w:val="00A624D6"/>
    <w:rsid w:val="00A6256A"/>
    <w:rsid w:val="00A62841"/>
    <w:rsid w:val="00A629D3"/>
    <w:rsid w:val="00A629FB"/>
    <w:rsid w:val="00A62C6E"/>
    <w:rsid w:val="00A63060"/>
    <w:rsid w:val="00A63186"/>
    <w:rsid w:val="00A632EE"/>
    <w:rsid w:val="00A6369D"/>
    <w:rsid w:val="00A63735"/>
    <w:rsid w:val="00A638CD"/>
    <w:rsid w:val="00A638F2"/>
    <w:rsid w:val="00A6390D"/>
    <w:rsid w:val="00A63934"/>
    <w:rsid w:val="00A639DE"/>
    <w:rsid w:val="00A63BF0"/>
    <w:rsid w:val="00A63C0C"/>
    <w:rsid w:val="00A63C91"/>
    <w:rsid w:val="00A63DAD"/>
    <w:rsid w:val="00A63F20"/>
    <w:rsid w:val="00A63FD7"/>
    <w:rsid w:val="00A64167"/>
    <w:rsid w:val="00A64293"/>
    <w:rsid w:val="00A642A8"/>
    <w:rsid w:val="00A64431"/>
    <w:rsid w:val="00A6494E"/>
    <w:rsid w:val="00A64A11"/>
    <w:rsid w:val="00A64C82"/>
    <w:rsid w:val="00A64CDB"/>
    <w:rsid w:val="00A65348"/>
    <w:rsid w:val="00A6593C"/>
    <w:rsid w:val="00A65AD5"/>
    <w:rsid w:val="00A65B4C"/>
    <w:rsid w:val="00A65D84"/>
    <w:rsid w:val="00A65DAB"/>
    <w:rsid w:val="00A65E3A"/>
    <w:rsid w:val="00A66220"/>
    <w:rsid w:val="00A668C7"/>
    <w:rsid w:val="00A6694A"/>
    <w:rsid w:val="00A66BFD"/>
    <w:rsid w:val="00A66D32"/>
    <w:rsid w:val="00A66E8B"/>
    <w:rsid w:val="00A66EB4"/>
    <w:rsid w:val="00A670B7"/>
    <w:rsid w:val="00A671AF"/>
    <w:rsid w:val="00A6720A"/>
    <w:rsid w:val="00A67322"/>
    <w:rsid w:val="00A67449"/>
    <w:rsid w:val="00A67C4B"/>
    <w:rsid w:val="00A67D43"/>
    <w:rsid w:val="00A67F83"/>
    <w:rsid w:val="00A70395"/>
    <w:rsid w:val="00A7057C"/>
    <w:rsid w:val="00A70713"/>
    <w:rsid w:val="00A70836"/>
    <w:rsid w:val="00A7089E"/>
    <w:rsid w:val="00A70E3B"/>
    <w:rsid w:val="00A70FA4"/>
    <w:rsid w:val="00A7117D"/>
    <w:rsid w:val="00A712C4"/>
    <w:rsid w:val="00A71B3E"/>
    <w:rsid w:val="00A71EB7"/>
    <w:rsid w:val="00A7223F"/>
    <w:rsid w:val="00A723C3"/>
    <w:rsid w:val="00A72574"/>
    <w:rsid w:val="00A727A8"/>
    <w:rsid w:val="00A7283D"/>
    <w:rsid w:val="00A72A14"/>
    <w:rsid w:val="00A72AC9"/>
    <w:rsid w:val="00A72CD6"/>
    <w:rsid w:val="00A72D51"/>
    <w:rsid w:val="00A72D7E"/>
    <w:rsid w:val="00A7306B"/>
    <w:rsid w:val="00A73377"/>
    <w:rsid w:val="00A738C6"/>
    <w:rsid w:val="00A73956"/>
    <w:rsid w:val="00A73B6A"/>
    <w:rsid w:val="00A73C0A"/>
    <w:rsid w:val="00A73FB1"/>
    <w:rsid w:val="00A73FCD"/>
    <w:rsid w:val="00A7404D"/>
    <w:rsid w:val="00A74086"/>
    <w:rsid w:val="00A741CB"/>
    <w:rsid w:val="00A74439"/>
    <w:rsid w:val="00A74496"/>
    <w:rsid w:val="00A744AC"/>
    <w:rsid w:val="00A745E6"/>
    <w:rsid w:val="00A74637"/>
    <w:rsid w:val="00A747E3"/>
    <w:rsid w:val="00A748CE"/>
    <w:rsid w:val="00A74ACB"/>
    <w:rsid w:val="00A74AD2"/>
    <w:rsid w:val="00A74DBD"/>
    <w:rsid w:val="00A74F38"/>
    <w:rsid w:val="00A754D1"/>
    <w:rsid w:val="00A75901"/>
    <w:rsid w:val="00A75969"/>
    <w:rsid w:val="00A75CEB"/>
    <w:rsid w:val="00A764D9"/>
    <w:rsid w:val="00A76639"/>
    <w:rsid w:val="00A767A6"/>
    <w:rsid w:val="00A76D4D"/>
    <w:rsid w:val="00A76ED1"/>
    <w:rsid w:val="00A76F2F"/>
    <w:rsid w:val="00A7715B"/>
    <w:rsid w:val="00A771B9"/>
    <w:rsid w:val="00A772B6"/>
    <w:rsid w:val="00A77368"/>
    <w:rsid w:val="00A77461"/>
    <w:rsid w:val="00A778AB"/>
    <w:rsid w:val="00A77918"/>
    <w:rsid w:val="00A779A4"/>
    <w:rsid w:val="00A77A38"/>
    <w:rsid w:val="00A77D59"/>
    <w:rsid w:val="00A77E43"/>
    <w:rsid w:val="00A77E89"/>
    <w:rsid w:val="00A77F7F"/>
    <w:rsid w:val="00A800DA"/>
    <w:rsid w:val="00A80124"/>
    <w:rsid w:val="00A8038C"/>
    <w:rsid w:val="00A80654"/>
    <w:rsid w:val="00A80657"/>
    <w:rsid w:val="00A80691"/>
    <w:rsid w:val="00A806CB"/>
    <w:rsid w:val="00A809AA"/>
    <w:rsid w:val="00A80D28"/>
    <w:rsid w:val="00A811C7"/>
    <w:rsid w:val="00A81222"/>
    <w:rsid w:val="00A814B0"/>
    <w:rsid w:val="00A814BF"/>
    <w:rsid w:val="00A815A1"/>
    <w:rsid w:val="00A815B3"/>
    <w:rsid w:val="00A816C5"/>
    <w:rsid w:val="00A8180B"/>
    <w:rsid w:val="00A81998"/>
    <w:rsid w:val="00A81A02"/>
    <w:rsid w:val="00A81E6B"/>
    <w:rsid w:val="00A81F37"/>
    <w:rsid w:val="00A81F95"/>
    <w:rsid w:val="00A82047"/>
    <w:rsid w:val="00A820DF"/>
    <w:rsid w:val="00A8237D"/>
    <w:rsid w:val="00A823F8"/>
    <w:rsid w:val="00A8261C"/>
    <w:rsid w:val="00A8269D"/>
    <w:rsid w:val="00A826E4"/>
    <w:rsid w:val="00A828B0"/>
    <w:rsid w:val="00A82979"/>
    <w:rsid w:val="00A8298A"/>
    <w:rsid w:val="00A82B39"/>
    <w:rsid w:val="00A82C12"/>
    <w:rsid w:val="00A82DAB"/>
    <w:rsid w:val="00A82EB3"/>
    <w:rsid w:val="00A82F5A"/>
    <w:rsid w:val="00A82F65"/>
    <w:rsid w:val="00A82FDE"/>
    <w:rsid w:val="00A83070"/>
    <w:rsid w:val="00A833FA"/>
    <w:rsid w:val="00A834F2"/>
    <w:rsid w:val="00A835A0"/>
    <w:rsid w:val="00A837D0"/>
    <w:rsid w:val="00A839F2"/>
    <w:rsid w:val="00A83BC1"/>
    <w:rsid w:val="00A83DC7"/>
    <w:rsid w:val="00A83EB6"/>
    <w:rsid w:val="00A84047"/>
    <w:rsid w:val="00A842E0"/>
    <w:rsid w:val="00A84314"/>
    <w:rsid w:val="00A84592"/>
    <w:rsid w:val="00A848F2"/>
    <w:rsid w:val="00A84926"/>
    <w:rsid w:val="00A84AD8"/>
    <w:rsid w:val="00A84BA8"/>
    <w:rsid w:val="00A84C13"/>
    <w:rsid w:val="00A850F3"/>
    <w:rsid w:val="00A85248"/>
    <w:rsid w:val="00A8536E"/>
    <w:rsid w:val="00A85387"/>
    <w:rsid w:val="00A85485"/>
    <w:rsid w:val="00A8549B"/>
    <w:rsid w:val="00A85732"/>
    <w:rsid w:val="00A8578C"/>
    <w:rsid w:val="00A85AA9"/>
    <w:rsid w:val="00A85C9C"/>
    <w:rsid w:val="00A85F19"/>
    <w:rsid w:val="00A8617A"/>
    <w:rsid w:val="00A861DE"/>
    <w:rsid w:val="00A863D1"/>
    <w:rsid w:val="00A86549"/>
    <w:rsid w:val="00A8654B"/>
    <w:rsid w:val="00A866B5"/>
    <w:rsid w:val="00A8693B"/>
    <w:rsid w:val="00A86B22"/>
    <w:rsid w:val="00A86BCC"/>
    <w:rsid w:val="00A86D9E"/>
    <w:rsid w:val="00A872A3"/>
    <w:rsid w:val="00A872BB"/>
    <w:rsid w:val="00A872F5"/>
    <w:rsid w:val="00A87339"/>
    <w:rsid w:val="00A873C9"/>
    <w:rsid w:val="00A8742E"/>
    <w:rsid w:val="00A87456"/>
    <w:rsid w:val="00A874DD"/>
    <w:rsid w:val="00A8799B"/>
    <w:rsid w:val="00A87B8F"/>
    <w:rsid w:val="00A87C49"/>
    <w:rsid w:val="00A87E63"/>
    <w:rsid w:val="00A87FBE"/>
    <w:rsid w:val="00A90023"/>
    <w:rsid w:val="00A90303"/>
    <w:rsid w:val="00A903D1"/>
    <w:rsid w:val="00A90446"/>
    <w:rsid w:val="00A904AE"/>
    <w:rsid w:val="00A904D3"/>
    <w:rsid w:val="00A90748"/>
    <w:rsid w:val="00A90794"/>
    <w:rsid w:val="00A909A5"/>
    <w:rsid w:val="00A90B42"/>
    <w:rsid w:val="00A90DBF"/>
    <w:rsid w:val="00A90E86"/>
    <w:rsid w:val="00A90EB1"/>
    <w:rsid w:val="00A910C7"/>
    <w:rsid w:val="00A913C0"/>
    <w:rsid w:val="00A914A1"/>
    <w:rsid w:val="00A91556"/>
    <w:rsid w:val="00A91618"/>
    <w:rsid w:val="00A91658"/>
    <w:rsid w:val="00A91849"/>
    <w:rsid w:val="00A91961"/>
    <w:rsid w:val="00A9228B"/>
    <w:rsid w:val="00A922C7"/>
    <w:rsid w:val="00A92394"/>
    <w:rsid w:val="00A92653"/>
    <w:rsid w:val="00A926B4"/>
    <w:rsid w:val="00A92767"/>
    <w:rsid w:val="00A9295B"/>
    <w:rsid w:val="00A92966"/>
    <w:rsid w:val="00A92B81"/>
    <w:rsid w:val="00A93137"/>
    <w:rsid w:val="00A934E7"/>
    <w:rsid w:val="00A93539"/>
    <w:rsid w:val="00A93882"/>
    <w:rsid w:val="00A939B7"/>
    <w:rsid w:val="00A93AD9"/>
    <w:rsid w:val="00A93C17"/>
    <w:rsid w:val="00A93ED4"/>
    <w:rsid w:val="00A93F8E"/>
    <w:rsid w:val="00A94012"/>
    <w:rsid w:val="00A9413E"/>
    <w:rsid w:val="00A94297"/>
    <w:rsid w:val="00A94344"/>
    <w:rsid w:val="00A943D4"/>
    <w:rsid w:val="00A944F1"/>
    <w:rsid w:val="00A9453A"/>
    <w:rsid w:val="00A94555"/>
    <w:rsid w:val="00A94565"/>
    <w:rsid w:val="00A9475F"/>
    <w:rsid w:val="00A948FC"/>
    <w:rsid w:val="00A94A61"/>
    <w:rsid w:val="00A94B7D"/>
    <w:rsid w:val="00A94C9F"/>
    <w:rsid w:val="00A94DDC"/>
    <w:rsid w:val="00A94EC1"/>
    <w:rsid w:val="00A94F34"/>
    <w:rsid w:val="00A9501C"/>
    <w:rsid w:val="00A95722"/>
    <w:rsid w:val="00A958BE"/>
    <w:rsid w:val="00A9599F"/>
    <w:rsid w:val="00A95B5D"/>
    <w:rsid w:val="00A95D3A"/>
    <w:rsid w:val="00A95F1B"/>
    <w:rsid w:val="00A96259"/>
    <w:rsid w:val="00A962CD"/>
    <w:rsid w:val="00A968CC"/>
    <w:rsid w:val="00A96A5B"/>
    <w:rsid w:val="00A96DC5"/>
    <w:rsid w:val="00A96E05"/>
    <w:rsid w:val="00A96FAD"/>
    <w:rsid w:val="00A9705E"/>
    <w:rsid w:val="00A9712D"/>
    <w:rsid w:val="00A973BF"/>
    <w:rsid w:val="00A97551"/>
    <w:rsid w:val="00A976FA"/>
    <w:rsid w:val="00A97CB4"/>
    <w:rsid w:val="00AA02CE"/>
    <w:rsid w:val="00AA0533"/>
    <w:rsid w:val="00AA05CA"/>
    <w:rsid w:val="00AA0639"/>
    <w:rsid w:val="00AA072A"/>
    <w:rsid w:val="00AA079A"/>
    <w:rsid w:val="00AA081E"/>
    <w:rsid w:val="00AA0AEB"/>
    <w:rsid w:val="00AA0B67"/>
    <w:rsid w:val="00AA0C1B"/>
    <w:rsid w:val="00AA0D5A"/>
    <w:rsid w:val="00AA0FBD"/>
    <w:rsid w:val="00AA1035"/>
    <w:rsid w:val="00AA1113"/>
    <w:rsid w:val="00AA11C5"/>
    <w:rsid w:val="00AA124D"/>
    <w:rsid w:val="00AA12F1"/>
    <w:rsid w:val="00AA12FF"/>
    <w:rsid w:val="00AA14E5"/>
    <w:rsid w:val="00AA17F8"/>
    <w:rsid w:val="00AA181C"/>
    <w:rsid w:val="00AA1B34"/>
    <w:rsid w:val="00AA1BAF"/>
    <w:rsid w:val="00AA1DAB"/>
    <w:rsid w:val="00AA20DF"/>
    <w:rsid w:val="00AA215A"/>
    <w:rsid w:val="00AA2177"/>
    <w:rsid w:val="00AA236B"/>
    <w:rsid w:val="00AA28FF"/>
    <w:rsid w:val="00AA301A"/>
    <w:rsid w:val="00AA3029"/>
    <w:rsid w:val="00AA31B3"/>
    <w:rsid w:val="00AA3E29"/>
    <w:rsid w:val="00AA3EEB"/>
    <w:rsid w:val="00AA3F92"/>
    <w:rsid w:val="00AA4005"/>
    <w:rsid w:val="00AA42C8"/>
    <w:rsid w:val="00AA44F9"/>
    <w:rsid w:val="00AA454A"/>
    <w:rsid w:val="00AA4646"/>
    <w:rsid w:val="00AA46EE"/>
    <w:rsid w:val="00AA487E"/>
    <w:rsid w:val="00AA48F7"/>
    <w:rsid w:val="00AA4C3C"/>
    <w:rsid w:val="00AA4CFF"/>
    <w:rsid w:val="00AA4D04"/>
    <w:rsid w:val="00AA4E81"/>
    <w:rsid w:val="00AA4FCC"/>
    <w:rsid w:val="00AA51B5"/>
    <w:rsid w:val="00AA566F"/>
    <w:rsid w:val="00AA580C"/>
    <w:rsid w:val="00AA5A3E"/>
    <w:rsid w:val="00AA5D20"/>
    <w:rsid w:val="00AA5DBE"/>
    <w:rsid w:val="00AA5E8B"/>
    <w:rsid w:val="00AA619C"/>
    <w:rsid w:val="00AA633A"/>
    <w:rsid w:val="00AA63FB"/>
    <w:rsid w:val="00AA642B"/>
    <w:rsid w:val="00AA6480"/>
    <w:rsid w:val="00AA68D0"/>
    <w:rsid w:val="00AA6965"/>
    <w:rsid w:val="00AA6982"/>
    <w:rsid w:val="00AA6A61"/>
    <w:rsid w:val="00AA6AE9"/>
    <w:rsid w:val="00AA6F5B"/>
    <w:rsid w:val="00AA6FDB"/>
    <w:rsid w:val="00AA7085"/>
    <w:rsid w:val="00AA70ED"/>
    <w:rsid w:val="00AA71DB"/>
    <w:rsid w:val="00AA7233"/>
    <w:rsid w:val="00AA761D"/>
    <w:rsid w:val="00AA7DB8"/>
    <w:rsid w:val="00AA7EC6"/>
    <w:rsid w:val="00AB01B2"/>
    <w:rsid w:val="00AB0201"/>
    <w:rsid w:val="00AB0246"/>
    <w:rsid w:val="00AB04A5"/>
    <w:rsid w:val="00AB052F"/>
    <w:rsid w:val="00AB07A2"/>
    <w:rsid w:val="00AB07DC"/>
    <w:rsid w:val="00AB091E"/>
    <w:rsid w:val="00AB096A"/>
    <w:rsid w:val="00AB0C3C"/>
    <w:rsid w:val="00AB0C62"/>
    <w:rsid w:val="00AB0D2A"/>
    <w:rsid w:val="00AB0F8E"/>
    <w:rsid w:val="00AB0FC7"/>
    <w:rsid w:val="00AB1168"/>
    <w:rsid w:val="00AB11CC"/>
    <w:rsid w:val="00AB1354"/>
    <w:rsid w:val="00AB14D2"/>
    <w:rsid w:val="00AB1515"/>
    <w:rsid w:val="00AB1570"/>
    <w:rsid w:val="00AB1741"/>
    <w:rsid w:val="00AB1749"/>
    <w:rsid w:val="00AB181F"/>
    <w:rsid w:val="00AB19EB"/>
    <w:rsid w:val="00AB1B66"/>
    <w:rsid w:val="00AB1BD1"/>
    <w:rsid w:val="00AB1CF5"/>
    <w:rsid w:val="00AB1DA8"/>
    <w:rsid w:val="00AB1DEC"/>
    <w:rsid w:val="00AB1FB8"/>
    <w:rsid w:val="00AB1FDA"/>
    <w:rsid w:val="00AB20E6"/>
    <w:rsid w:val="00AB2149"/>
    <w:rsid w:val="00AB21CB"/>
    <w:rsid w:val="00AB2617"/>
    <w:rsid w:val="00AB2949"/>
    <w:rsid w:val="00AB2958"/>
    <w:rsid w:val="00AB29AA"/>
    <w:rsid w:val="00AB2AFA"/>
    <w:rsid w:val="00AB2FE3"/>
    <w:rsid w:val="00AB3170"/>
    <w:rsid w:val="00AB31CB"/>
    <w:rsid w:val="00AB3286"/>
    <w:rsid w:val="00AB3541"/>
    <w:rsid w:val="00AB35F4"/>
    <w:rsid w:val="00AB3831"/>
    <w:rsid w:val="00AB3B8C"/>
    <w:rsid w:val="00AB3DE9"/>
    <w:rsid w:val="00AB41A3"/>
    <w:rsid w:val="00AB4778"/>
    <w:rsid w:val="00AB4910"/>
    <w:rsid w:val="00AB4BF1"/>
    <w:rsid w:val="00AB529C"/>
    <w:rsid w:val="00AB54DE"/>
    <w:rsid w:val="00AB5631"/>
    <w:rsid w:val="00AB5684"/>
    <w:rsid w:val="00AB5C99"/>
    <w:rsid w:val="00AB5DAD"/>
    <w:rsid w:val="00AB5EAE"/>
    <w:rsid w:val="00AB5F18"/>
    <w:rsid w:val="00AB5F4C"/>
    <w:rsid w:val="00AB5F78"/>
    <w:rsid w:val="00AB5FA1"/>
    <w:rsid w:val="00AB61A1"/>
    <w:rsid w:val="00AB6501"/>
    <w:rsid w:val="00AB6607"/>
    <w:rsid w:val="00AB6676"/>
    <w:rsid w:val="00AB6711"/>
    <w:rsid w:val="00AB671D"/>
    <w:rsid w:val="00AB67B7"/>
    <w:rsid w:val="00AB69BF"/>
    <w:rsid w:val="00AB6A1C"/>
    <w:rsid w:val="00AB6A8B"/>
    <w:rsid w:val="00AB6EA1"/>
    <w:rsid w:val="00AB7252"/>
    <w:rsid w:val="00AB73E9"/>
    <w:rsid w:val="00AB74C1"/>
    <w:rsid w:val="00AB76AD"/>
    <w:rsid w:val="00AB7897"/>
    <w:rsid w:val="00AB794D"/>
    <w:rsid w:val="00AB7A4D"/>
    <w:rsid w:val="00AB7B8E"/>
    <w:rsid w:val="00AB7E7F"/>
    <w:rsid w:val="00AB7F7F"/>
    <w:rsid w:val="00AC004E"/>
    <w:rsid w:val="00AC022C"/>
    <w:rsid w:val="00AC0449"/>
    <w:rsid w:val="00AC05D5"/>
    <w:rsid w:val="00AC0D5F"/>
    <w:rsid w:val="00AC0F0B"/>
    <w:rsid w:val="00AC0FA9"/>
    <w:rsid w:val="00AC18FE"/>
    <w:rsid w:val="00AC193F"/>
    <w:rsid w:val="00AC227A"/>
    <w:rsid w:val="00AC2491"/>
    <w:rsid w:val="00AC25C1"/>
    <w:rsid w:val="00AC284E"/>
    <w:rsid w:val="00AC293D"/>
    <w:rsid w:val="00AC29B9"/>
    <w:rsid w:val="00AC2F09"/>
    <w:rsid w:val="00AC3036"/>
    <w:rsid w:val="00AC30C1"/>
    <w:rsid w:val="00AC36BD"/>
    <w:rsid w:val="00AC382F"/>
    <w:rsid w:val="00AC3867"/>
    <w:rsid w:val="00AC3908"/>
    <w:rsid w:val="00AC3ABF"/>
    <w:rsid w:val="00AC3C3F"/>
    <w:rsid w:val="00AC3DA1"/>
    <w:rsid w:val="00AC410A"/>
    <w:rsid w:val="00AC42AC"/>
    <w:rsid w:val="00AC45C2"/>
    <w:rsid w:val="00AC4608"/>
    <w:rsid w:val="00AC47EE"/>
    <w:rsid w:val="00AC48F4"/>
    <w:rsid w:val="00AC4ABF"/>
    <w:rsid w:val="00AC4F96"/>
    <w:rsid w:val="00AC5135"/>
    <w:rsid w:val="00AC5522"/>
    <w:rsid w:val="00AC5A56"/>
    <w:rsid w:val="00AC5A75"/>
    <w:rsid w:val="00AC5B3E"/>
    <w:rsid w:val="00AC5C89"/>
    <w:rsid w:val="00AC5FD4"/>
    <w:rsid w:val="00AC6141"/>
    <w:rsid w:val="00AC616C"/>
    <w:rsid w:val="00AC61D0"/>
    <w:rsid w:val="00AC6333"/>
    <w:rsid w:val="00AC6681"/>
    <w:rsid w:val="00AC684B"/>
    <w:rsid w:val="00AC6BCA"/>
    <w:rsid w:val="00AC7153"/>
    <w:rsid w:val="00AC7213"/>
    <w:rsid w:val="00AC729B"/>
    <w:rsid w:val="00AC739C"/>
    <w:rsid w:val="00AC771D"/>
    <w:rsid w:val="00AC7B95"/>
    <w:rsid w:val="00AC7E6D"/>
    <w:rsid w:val="00AC7F95"/>
    <w:rsid w:val="00AD0025"/>
    <w:rsid w:val="00AD01BD"/>
    <w:rsid w:val="00AD0630"/>
    <w:rsid w:val="00AD0643"/>
    <w:rsid w:val="00AD0916"/>
    <w:rsid w:val="00AD0A9F"/>
    <w:rsid w:val="00AD101F"/>
    <w:rsid w:val="00AD109B"/>
    <w:rsid w:val="00AD11C5"/>
    <w:rsid w:val="00AD1240"/>
    <w:rsid w:val="00AD1757"/>
    <w:rsid w:val="00AD1A8B"/>
    <w:rsid w:val="00AD1D1E"/>
    <w:rsid w:val="00AD203E"/>
    <w:rsid w:val="00AD238B"/>
    <w:rsid w:val="00AD2488"/>
    <w:rsid w:val="00AD2723"/>
    <w:rsid w:val="00AD2751"/>
    <w:rsid w:val="00AD29B5"/>
    <w:rsid w:val="00AD2CFB"/>
    <w:rsid w:val="00AD2EF7"/>
    <w:rsid w:val="00AD31FE"/>
    <w:rsid w:val="00AD331B"/>
    <w:rsid w:val="00AD358E"/>
    <w:rsid w:val="00AD38EB"/>
    <w:rsid w:val="00AD3CA4"/>
    <w:rsid w:val="00AD433B"/>
    <w:rsid w:val="00AD45C4"/>
    <w:rsid w:val="00AD47AE"/>
    <w:rsid w:val="00AD483C"/>
    <w:rsid w:val="00AD4AC9"/>
    <w:rsid w:val="00AD4B2C"/>
    <w:rsid w:val="00AD4DCF"/>
    <w:rsid w:val="00AD4DE1"/>
    <w:rsid w:val="00AD51EE"/>
    <w:rsid w:val="00AD5214"/>
    <w:rsid w:val="00AD524C"/>
    <w:rsid w:val="00AD52E3"/>
    <w:rsid w:val="00AD5412"/>
    <w:rsid w:val="00AD558E"/>
    <w:rsid w:val="00AD56C6"/>
    <w:rsid w:val="00AD57BD"/>
    <w:rsid w:val="00AD591A"/>
    <w:rsid w:val="00AD5DE9"/>
    <w:rsid w:val="00AD6158"/>
    <w:rsid w:val="00AD615B"/>
    <w:rsid w:val="00AD6767"/>
    <w:rsid w:val="00AD6826"/>
    <w:rsid w:val="00AD6AF8"/>
    <w:rsid w:val="00AD6B44"/>
    <w:rsid w:val="00AD73B6"/>
    <w:rsid w:val="00AD7423"/>
    <w:rsid w:val="00AD7629"/>
    <w:rsid w:val="00AD7A6B"/>
    <w:rsid w:val="00AD7CD5"/>
    <w:rsid w:val="00AD7E82"/>
    <w:rsid w:val="00AD7F9D"/>
    <w:rsid w:val="00AE01B5"/>
    <w:rsid w:val="00AE0230"/>
    <w:rsid w:val="00AE05C7"/>
    <w:rsid w:val="00AE0689"/>
    <w:rsid w:val="00AE0691"/>
    <w:rsid w:val="00AE0A5A"/>
    <w:rsid w:val="00AE0F43"/>
    <w:rsid w:val="00AE10CA"/>
    <w:rsid w:val="00AE1372"/>
    <w:rsid w:val="00AE149D"/>
    <w:rsid w:val="00AE173E"/>
    <w:rsid w:val="00AE19BA"/>
    <w:rsid w:val="00AE1C9C"/>
    <w:rsid w:val="00AE1CCC"/>
    <w:rsid w:val="00AE2011"/>
    <w:rsid w:val="00AE211E"/>
    <w:rsid w:val="00AE21D6"/>
    <w:rsid w:val="00AE25A4"/>
    <w:rsid w:val="00AE25EE"/>
    <w:rsid w:val="00AE2809"/>
    <w:rsid w:val="00AE2A09"/>
    <w:rsid w:val="00AE2B41"/>
    <w:rsid w:val="00AE2C25"/>
    <w:rsid w:val="00AE2E8D"/>
    <w:rsid w:val="00AE2F7F"/>
    <w:rsid w:val="00AE302D"/>
    <w:rsid w:val="00AE3432"/>
    <w:rsid w:val="00AE36F6"/>
    <w:rsid w:val="00AE38E8"/>
    <w:rsid w:val="00AE397D"/>
    <w:rsid w:val="00AE3AA7"/>
    <w:rsid w:val="00AE3C14"/>
    <w:rsid w:val="00AE3F33"/>
    <w:rsid w:val="00AE4234"/>
    <w:rsid w:val="00AE42BF"/>
    <w:rsid w:val="00AE42FF"/>
    <w:rsid w:val="00AE4643"/>
    <w:rsid w:val="00AE46B6"/>
    <w:rsid w:val="00AE49CD"/>
    <w:rsid w:val="00AE4B2D"/>
    <w:rsid w:val="00AE4B31"/>
    <w:rsid w:val="00AE4DA4"/>
    <w:rsid w:val="00AE5023"/>
    <w:rsid w:val="00AE51CB"/>
    <w:rsid w:val="00AE520D"/>
    <w:rsid w:val="00AE55B8"/>
    <w:rsid w:val="00AE57FC"/>
    <w:rsid w:val="00AE58F2"/>
    <w:rsid w:val="00AE58FC"/>
    <w:rsid w:val="00AE5C01"/>
    <w:rsid w:val="00AE60E9"/>
    <w:rsid w:val="00AE6153"/>
    <w:rsid w:val="00AE648D"/>
    <w:rsid w:val="00AE6683"/>
    <w:rsid w:val="00AE67EE"/>
    <w:rsid w:val="00AE7022"/>
    <w:rsid w:val="00AE71AF"/>
    <w:rsid w:val="00AE725E"/>
    <w:rsid w:val="00AE736F"/>
    <w:rsid w:val="00AE751C"/>
    <w:rsid w:val="00AE7AD5"/>
    <w:rsid w:val="00AE7B84"/>
    <w:rsid w:val="00AE7E0B"/>
    <w:rsid w:val="00AF0022"/>
    <w:rsid w:val="00AF00BB"/>
    <w:rsid w:val="00AF00F6"/>
    <w:rsid w:val="00AF0300"/>
    <w:rsid w:val="00AF050C"/>
    <w:rsid w:val="00AF0733"/>
    <w:rsid w:val="00AF08F9"/>
    <w:rsid w:val="00AF098F"/>
    <w:rsid w:val="00AF0A05"/>
    <w:rsid w:val="00AF0A5E"/>
    <w:rsid w:val="00AF0A91"/>
    <w:rsid w:val="00AF1007"/>
    <w:rsid w:val="00AF1071"/>
    <w:rsid w:val="00AF11B1"/>
    <w:rsid w:val="00AF11FD"/>
    <w:rsid w:val="00AF1318"/>
    <w:rsid w:val="00AF151F"/>
    <w:rsid w:val="00AF17EA"/>
    <w:rsid w:val="00AF181F"/>
    <w:rsid w:val="00AF1890"/>
    <w:rsid w:val="00AF1E2C"/>
    <w:rsid w:val="00AF1E86"/>
    <w:rsid w:val="00AF1F9A"/>
    <w:rsid w:val="00AF2094"/>
    <w:rsid w:val="00AF214D"/>
    <w:rsid w:val="00AF24CC"/>
    <w:rsid w:val="00AF2548"/>
    <w:rsid w:val="00AF263A"/>
    <w:rsid w:val="00AF27AA"/>
    <w:rsid w:val="00AF299B"/>
    <w:rsid w:val="00AF2A36"/>
    <w:rsid w:val="00AF2B2E"/>
    <w:rsid w:val="00AF2D53"/>
    <w:rsid w:val="00AF2F24"/>
    <w:rsid w:val="00AF2FFD"/>
    <w:rsid w:val="00AF3071"/>
    <w:rsid w:val="00AF31BF"/>
    <w:rsid w:val="00AF3337"/>
    <w:rsid w:val="00AF3471"/>
    <w:rsid w:val="00AF3545"/>
    <w:rsid w:val="00AF3615"/>
    <w:rsid w:val="00AF3DB1"/>
    <w:rsid w:val="00AF3EEF"/>
    <w:rsid w:val="00AF403A"/>
    <w:rsid w:val="00AF44F8"/>
    <w:rsid w:val="00AF46DF"/>
    <w:rsid w:val="00AF4C3D"/>
    <w:rsid w:val="00AF4C83"/>
    <w:rsid w:val="00AF4D6D"/>
    <w:rsid w:val="00AF4E72"/>
    <w:rsid w:val="00AF4F75"/>
    <w:rsid w:val="00AF5151"/>
    <w:rsid w:val="00AF5211"/>
    <w:rsid w:val="00AF52F2"/>
    <w:rsid w:val="00AF530D"/>
    <w:rsid w:val="00AF53CA"/>
    <w:rsid w:val="00AF5408"/>
    <w:rsid w:val="00AF55AB"/>
    <w:rsid w:val="00AF56E6"/>
    <w:rsid w:val="00AF5A81"/>
    <w:rsid w:val="00AF619A"/>
    <w:rsid w:val="00AF61DE"/>
    <w:rsid w:val="00AF6493"/>
    <w:rsid w:val="00AF64D9"/>
    <w:rsid w:val="00AF6622"/>
    <w:rsid w:val="00AF6856"/>
    <w:rsid w:val="00AF691A"/>
    <w:rsid w:val="00AF6DF9"/>
    <w:rsid w:val="00AF6E13"/>
    <w:rsid w:val="00AF6FCB"/>
    <w:rsid w:val="00AF708E"/>
    <w:rsid w:val="00AF7131"/>
    <w:rsid w:val="00AF72D4"/>
    <w:rsid w:val="00AF749B"/>
    <w:rsid w:val="00AF74B5"/>
    <w:rsid w:val="00AF74D1"/>
    <w:rsid w:val="00AF769B"/>
    <w:rsid w:val="00AF77AA"/>
    <w:rsid w:val="00AF7892"/>
    <w:rsid w:val="00AF7AB1"/>
    <w:rsid w:val="00AF7CE7"/>
    <w:rsid w:val="00B00016"/>
    <w:rsid w:val="00B00419"/>
    <w:rsid w:val="00B007B5"/>
    <w:rsid w:val="00B00986"/>
    <w:rsid w:val="00B00C76"/>
    <w:rsid w:val="00B00CC6"/>
    <w:rsid w:val="00B00DE4"/>
    <w:rsid w:val="00B00F12"/>
    <w:rsid w:val="00B012EF"/>
    <w:rsid w:val="00B015BA"/>
    <w:rsid w:val="00B016DB"/>
    <w:rsid w:val="00B0182F"/>
    <w:rsid w:val="00B019A6"/>
    <w:rsid w:val="00B01AB8"/>
    <w:rsid w:val="00B01C7E"/>
    <w:rsid w:val="00B01D3C"/>
    <w:rsid w:val="00B01E0E"/>
    <w:rsid w:val="00B01EC2"/>
    <w:rsid w:val="00B01FCF"/>
    <w:rsid w:val="00B021E3"/>
    <w:rsid w:val="00B0274A"/>
    <w:rsid w:val="00B027F7"/>
    <w:rsid w:val="00B029FC"/>
    <w:rsid w:val="00B02A55"/>
    <w:rsid w:val="00B02D61"/>
    <w:rsid w:val="00B02E23"/>
    <w:rsid w:val="00B02E3A"/>
    <w:rsid w:val="00B02F7E"/>
    <w:rsid w:val="00B02FA5"/>
    <w:rsid w:val="00B030C9"/>
    <w:rsid w:val="00B031A8"/>
    <w:rsid w:val="00B0327F"/>
    <w:rsid w:val="00B033F2"/>
    <w:rsid w:val="00B03425"/>
    <w:rsid w:val="00B0344B"/>
    <w:rsid w:val="00B0351E"/>
    <w:rsid w:val="00B0357F"/>
    <w:rsid w:val="00B03616"/>
    <w:rsid w:val="00B037E0"/>
    <w:rsid w:val="00B038A3"/>
    <w:rsid w:val="00B03A6C"/>
    <w:rsid w:val="00B03DA0"/>
    <w:rsid w:val="00B03F3D"/>
    <w:rsid w:val="00B04154"/>
    <w:rsid w:val="00B04205"/>
    <w:rsid w:val="00B0427B"/>
    <w:rsid w:val="00B04302"/>
    <w:rsid w:val="00B0431D"/>
    <w:rsid w:val="00B04370"/>
    <w:rsid w:val="00B048DA"/>
    <w:rsid w:val="00B04B64"/>
    <w:rsid w:val="00B04BC4"/>
    <w:rsid w:val="00B04CC2"/>
    <w:rsid w:val="00B04CD4"/>
    <w:rsid w:val="00B04E1E"/>
    <w:rsid w:val="00B04E2F"/>
    <w:rsid w:val="00B05009"/>
    <w:rsid w:val="00B051AA"/>
    <w:rsid w:val="00B051B3"/>
    <w:rsid w:val="00B05254"/>
    <w:rsid w:val="00B053E8"/>
    <w:rsid w:val="00B0552F"/>
    <w:rsid w:val="00B055B4"/>
    <w:rsid w:val="00B05655"/>
    <w:rsid w:val="00B058F8"/>
    <w:rsid w:val="00B058FA"/>
    <w:rsid w:val="00B05B44"/>
    <w:rsid w:val="00B05B8E"/>
    <w:rsid w:val="00B05BDA"/>
    <w:rsid w:val="00B05D6B"/>
    <w:rsid w:val="00B05E65"/>
    <w:rsid w:val="00B0622B"/>
    <w:rsid w:val="00B0643A"/>
    <w:rsid w:val="00B06A0C"/>
    <w:rsid w:val="00B06B91"/>
    <w:rsid w:val="00B06CBA"/>
    <w:rsid w:val="00B06E7B"/>
    <w:rsid w:val="00B06F20"/>
    <w:rsid w:val="00B073AD"/>
    <w:rsid w:val="00B07C5C"/>
    <w:rsid w:val="00B07C7A"/>
    <w:rsid w:val="00B07C9D"/>
    <w:rsid w:val="00B07F1F"/>
    <w:rsid w:val="00B10159"/>
    <w:rsid w:val="00B10247"/>
    <w:rsid w:val="00B1026E"/>
    <w:rsid w:val="00B1033D"/>
    <w:rsid w:val="00B103DF"/>
    <w:rsid w:val="00B1065B"/>
    <w:rsid w:val="00B10752"/>
    <w:rsid w:val="00B10AC7"/>
    <w:rsid w:val="00B10B5D"/>
    <w:rsid w:val="00B10F3C"/>
    <w:rsid w:val="00B1102D"/>
    <w:rsid w:val="00B111F9"/>
    <w:rsid w:val="00B112B7"/>
    <w:rsid w:val="00B1140B"/>
    <w:rsid w:val="00B114D1"/>
    <w:rsid w:val="00B11581"/>
    <w:rsid w:val="00B11588"/>
    <w:rsid w:val="00B118AB"/>
    <w:rsid w:val="00B11A5C"/>
    <w:rsid w:val="00B121F4"/>
    <w:rsid w:val="00B12596"/>
    <w:rsid w:val="00B1278C"/>
    <w:rsid w:val="00B12A61"/>
    <w:rsid w:val="00B12CFC"/>
    <w:rsid w:val="00B12D63"/>
    <w:rsid w:val="00B12DB6"/>
    <w:rsid w:val="00B12DD9"/>
    <w:rsid w:val="00B12DE7"/>
    <w:rsid w:val="00B12E70"/>
    <w:rsid w:val="00B12ECD"/>
    <w:rsid w:val="00B130D2"/>
    <w:rsid w:val="00B13115"/>
    <w:rsid w:val="00B13117"/>
    <w:rsid w:val="00B132AD"/>
    <w:rsid w:val="00B133B8"/>
    <w:rsid w:val="00B133DB"/>
    <w:rsid w:val="00B13421"/>
    <w:rsid w:val="00B135BF"/>
    <w:rsid w:val="00B13714"/>
    <w:rsid w:val="00B13B78"/>
    <w:rsid w:val="00B13BE1"/>
    <w:rsid w:val="00B13F58"/>
    <w:rsid w:val="00B1401E"/>
    <w:rsid w:val="00B1411E"/>
    <w:rsid w:val="00B1415A"/>
    <w:rsid w:val="00B14531"/>
    <w:rsid w:val="00B146AB"/>
    <w:rsid w:val="00B1483F"/>
    <w:rsid w:val="00B14979"/>
    <w:rsid w:val="00B14CAC"/>
    <w:rsid w:val="00B150FA"/>
    <w:rsid w:val="00B15A0C"/>
    <w:rsid w:val="00B15C5B"/>
    <w:rsid w:val="00B15DE8"/>
    <w:rsid w:val="00B15DF8"/>
    <w:rsid w:val="00B15ED8"/>
    <w:rsid w:val="00B15EF0"/>
    <w:rsid w:val="00B15F03"/>
    <w:rsid w:val="00B15F64"/>
    <w:rsid w:val="00B15FBC"/>
    <w:rsid w:val="00B160DA"/>
    <w:rsid w:val="00B16172"/>
    <w:rsid w:val="00B16288"/>
    <w:rsid w:val="00B164E9"/>
    <w:rsid w:val="00B165A9"/>
    <w:rsid w:val="00B165B3"/>
    <w:rsid w:val="00B1670D"/>
    <w:rsid w:val="00B1678C"/>
    <w:rsid w:val="00B16994"/>
    <w:rsid w:val="00B16AF8"/>
    <w:rsid w:val="00B16B04"/>
    <w:rsid w:val="00B16BF3"/>
    <w:rsid w:val="00B16D50"/>
    <w:rsid w:val="00B16D9C"/>
    <w:rsid w:val="00B17008"/>
    <w:rsid w:val="00B170B3"/>
    <w:rsid w:val="00B170C6"/>
    <w:rsid w:val="00B1729B"/>
    <w:rsid w:val="00B173D9"/>
    <w:rsid w:val="00B17511"/>
    <w:rsid w:val="00B1793A"/>
    <w:rsid w:val="00B17CDC"/>
    <w:rsid w:val="00B17E48"/>
    <w:rsid w:val="00B17E7F"/>
    <w:rsid w:val="00B17FD8"/>
    <w:rsid w:val="00B20071"/>
    <w:rsid w:val="00B200E5"/>
    <w:rsid w:val="00B20154"/>
    <w:rsid w:val="00B20176"/>
    <w:rsid w:val="00B20427"/>
    <w:rsid w:val="00B20679"/>
    <w:rsid w:val="00B208E4"/>
    <w:rsid w:val="00B20A49"/>
    <w:rsid w:val="00B20CE7"/>
    <w:rsid w:val="00B20EC8"/>
    <w:rsid w:val="00B20F85"/>
    <w:rsid w:val="00B20FCB"/>
    <w:rsid w:val="00B21099"/>
    <w:rsid w:val="00B21378"/>
    <w:rsid w:val="00B21494"/>
    <w:rsid w:val="00B21679"/>
    <w:rsid w:val="00B219D8"/>
    <w:rsid w:val="00B21C85"/>
    <w:rsid w:val="00B21DDA"/>
    <w:rsid w:val="00B21F81"/>
    <w:rsid w:val="00B21FA0"/>
    <w:rsid w:val="00B22042"/>
    <w:rsid w:val="00B2219C"/>
    <w:rsid w:val="00B221A0"/>
    <w:rsid w:val="00B222D9"/>
    <w:rsid w:val="00B22352"/>
    <w:rsid w:val="00B2245E"/>
    <w:rsid w:val="00B22603"/>
    <w:rsid w:val="00B22620"/>
    <w:rsid w:val="00B229A7"/>
    <w:rsid w:val="00B22E9B"/>
    <w:rsid w:val="00B22F05"/>
    <w:rsid w:val="00B22F56"/>
    <w:rsid w:val="00B22FD4"/>
    <w:rsid w:val="00B23096"/>
    <w:rsid w:val="00B235FD"/>
    <w:rsid w:val="00B23778"/>
    <w:rsid w:val="00B239D4"/>
    <w:rsid w:val="00B23C05"/>
    <w:rsid w:val="00B23D4A"/>
    <w:rsid w:val="00B23EAB"/>
    <w:rsid w:val="00B23FBD"/>
    <w:rsid w:val="00B23FE5"/>
    <w:rsid w:val="00B24258"/>
    <w:rsid w:val="00B243D2"/>
    <w:rsid w:val="00B2449D"/>
    <w:rsid w:val="00B24606"/>
    <w:rsid w:val="00B24607"/>
    <w:rsid w:val="00B2479E"/>
    <w:rsid w:val="00B247A3"/>
    <w:rsid w:val="00B249B3"/>
    <w:rsid w:val="00B24C5B"/>
    <w:rsid w:val="00B251D2"/>
    <w:rsid w:val="00B25243"/>
    <w:rsid w:val="00B254EF"/>
    <w:rsid w:val="00B25680"/>
    <w:rsid w:val="00B25A85"/>
    <w:rsid w:val="00B25B20"/>
    <w:rsid w:val="00B25D6B"/>
    <w:rsid w:val="00B25F72"/>
    <w:rsid w:val="00B260DC"/>
    <w:rsid w:val="00B26139"/>
    <w:rsid w:val="00B26529"/>
    <w:rsid w:val="00B2676B"/>
    <w:rsid w:val="00B26984"/>
    <w:rsid w:val="00B26B99"/>
    <w:rsid w:val="00B26C21"/>
    <w:rsid w:val="00B26CC5"/>
    <w:rsid w:val="00B26E2E"/>
    <w:rsid w:val="00B272E7"/>
    <w:rsid w:val="00B273F6"/>
    <w:rsid w:val="00B27446"/>
    <w:rsid w:val="00B2758E"/>
    <w:rsid w:val="00B27ADA"/>
    <w:rsid w:val="00B27EA0"/>
    <w:rsid w:val="00B27EE7"/>
    <w:rsid w:val="00B300A0"/>
    <w:rsid w:val="00B300B4"/>
    <w:rsid w:val="00B30188"/>
    <w:rsid w:val="00B30840"/>
    <w:rsid w:val="00B30D35"/>
    <w:rsid w:val="00B3123F"/>
    <w:rsid w:val="00B312CA"/>
    <w:rsid w:val="00B3140F"/>
    <w:rsid w:val="00B3159F"/>
    <w:rsid w:val="00B316FD"/>
    <w:rsid w:val="00B31728"/>
    <w:rsid w:val="00B3175C"/>
    <w:rsid w:val="00B317E1"/>
    <w:rsid w:val="00B31909"/>
    <w:rsid w:val="00B3197E"/>
    <w:rsid w:val="00B31987"/>
    <w:rsid w:val="00B31A35"/>
    <w:rsid w:val="00B31C40"/>
    <w:rsid w:val="00B31C98"/>
    <w:rsid w:val="00B31EB1"/>
    <w:rsid w:val="00B31F74"/>
    <w:rsid w:val="00B3219F"/>
    <w:rsid w:val="00B32358"/>
    <w:rsid w:val="00B32681"/>
    <w:rsid w:val="00B32AC1"/>
    <w:rsid w:val="00B32B62"/>
    <w:rsid w:val="00B32F90"/>
    <w:rsid w:val="00B33103"/>
    <w:rsid w:val="00B3315B"/>
    <w:rsid w:val="00B3345C"/>
    <w:rsid w:val="00B339F7"/>
    <w:rsid w:val="00B33A15"/>
    <w:rsid w:val="00B33BC7"/>
    <w:rsid w:val="00B33D03"/>
    <w:rsid w:val="00B33FAD"/>
    <w:rsid w:val="00B34359"/>
    <w:rsid w:val="00B34473"/>
    <w:rsid w:val="00B344F5"/>
    <w:rsid w:val="00B34502"/>
    <w:rsid w:val="00B34520"/>
    <w:rsid w:val="00B345DB"/>
    <w:rsid w:val="00B347A1"/>
    <w:rsid w:val="00B34C74"/>
    <w:rsid w:val="00B34CAE"/>
    <w:rsid w:val="00B34D21"/>
    <w:rsid w:val="00B34D7F"/>
    <w:rsid w:val="00B34E57"/>
    <w:rsid w:val="00B34F08"/>
    <w:rsid w:val="00B34FBA"/>
    <w:rsid w:val="00B35005"/>
    <w:rsid w:val="00B35532"/>
    <w:rsid w:val="00B3555F"/>
    <w:rsid w:val="00B3588E"/>
    <w:rsid w:val="00B35900"/>
    <w:rsid w:val="00B35BF2"/>
    <w:rsid w:val="00B35DAD"/>
    <w:rsid w:val="00B36418"/>
    <w:rsid w:val="00B36B02"/>
    <w:rsid w:val="00B36C6D"/>
    <w:rsid w:val="00B36FEE"/>
    <w:rsid w:val="00B37373"/>
    <w:rsid w:val="00B37428"/>
    <w:rsid w:val="00B37B3F"/>
    <w:rsid w:val="00B37B78"/>
    <w:rsid w:val="00B37C4C"/>
    <w:rsid w:val="00B37D1B"/>
    <w:rsid w:val="00B37E08"/>
    <w:rsid w:val="00B37F32"/>
    <w:rsid w:val="00B4070B"/>
    <w:rsid w:val="00B4083B"/>
    <w:rsid w:val="00B408C7"/>
    <w:rsid w:val="00B40930"/>
    <w:rsid w:val="00B409AB"/>
    <w:rsid w:val="00B409E4"/>
    <w:rsid w:val="00B40B9C"/>
    <w:rsid w:val="00B40C9A"/>
    <w:rsid w:val="00B41008"/>
    <w:rsid w:val="00B41134"/>
    <w:rsid w:val="00B4155A"/>
    <w:rsid w:val="00B41B2F"/>
    <w:rsid w:val="00B41CB5"/>
    <w:rsid w:val="00B41CEA"/>
    <w:rsid w:val="00B41DC6"/>
    <w:rsid w:val="00B41E30"/>
    <w:rsid w:val="00B41E97"/>
    <w:rsid w:val="00B41F03"/>
    <w:rsid w:val="00B41F10"/>
    <w:rsid w:val="00B42192"/>
    <w:rsid w:val="00B421AA"/>
    <w:rsid w:val="00B42329"/>
    <w:rsid w:val="00B4254A"/>
    <w:rsid w:val="00B42633"/>
    <w:rsid w:val="00B4278B"/>
    <w:rsid w:val="00B427FB"/>
    <w:rsid w:val="00B42D43"/>
    <w:rsid w:val="00B43169"/>
    <w:rsid w:val="00B434A2"/>
    <w:rsid w:val="00B4378D"/>
    <w:rsid w:val="00B43A5B"/>
    <w:rsid w:val="00B43C15"/>
    <w:rsid w:val="00B43EE2"/>
    <w:rsid w:val="00B44052"/>
    <w:rsid w:val="00B440F1"/>
    <w:rsid w:val="00B44460"/>
    <w:rsid w:val="00B446E0"/>
    <w:rsid w:val="00B446F8"/>
    <w:rsid w:val="00B44714"/>
    <w:rsid w:val="00B4475B"/>
    <w:rsid w:val="00B449CC"/>
    <w:rsid w:val="00B44D90"/>
    <w:rsid w:val="00B44DA5"/>
    <w:rsid w:val="00B45089"/>
    <w:rsid w:val="00B450CA"/>
    <w:rsid w:val="00B45220"/>
    <w:rsid w:val="00B45298"/>
    <w:rsid w:val="00B45343"/>
    <w:rsid w:val="00B453C8"/>
    <w:rsid w:val="00B454B1"/>
    <w:rsid w:val="00B456B5"/>
    <w:rsid w:val="00B4572A"/>
    <w:rsid w:val="00B45864"/>
    <w:rsid w:val="00B45896"/>
    <w:rsid w:val="00B459E2"/>
    <w:rsid w:val="00B45C11"/>
    <w:rsid w:val="00B45D01"/>
    <w:rsid w:val="00B45F31"/>
    <w:rsid w:val="00B460B7"/>
    <w:rsid w:val="00B46224"/>
    <w:rsid w:val="00B463C7"/>
    <w:rsid w:val="00B465D2"/>
    <w:rsid w:val="00B467C0"/>
    <w:rsid w:val="00B46A32"/>
    <w:rsid w:val="00B46AAB"/>
    <w:rsid w:val="00B46BE3"/>
    <w:rsid w:val="00B47009"/>
    <w:rsid w:val="00B47085"/>
    <w:rsid w:val="00B47364"/>
    <w:rsid w:val="00B47442"/>
    <w:rsid w:val="00B47567"/>
    <w:rsid w:val="00B47590"/>
    <w:rsid w:val="00B47622"/>
    <w:rsid w:val="00B47A51"/>
    <w:rsid w:val="00B47DE3"/>
    <w:rsid w:val="00B47DFA"/>
    <w:rsid w:val="00B47FF3"/>
    <w:rsid w:val="00B5008A"/>
    <w:rsid w:val="00B505DA"/>
    <w:rsid w:val="00B50647"/>
    <w:rsid w:val="00B50A94"/>
    <w:rsid w:val="00B50BFE"/>
    <w:rsid w:val="00B50C52"/>
    <w:rsid w:val="00B50E99"/>
    <w:rsid w:val="00B50ED6"/>
    <w:rsid w:val="00B515E0"/>
    <w:rsid w:val="00B516C0"/>
    <w:rsid w:val="00B5177A"/>
    <w:rsid w:val="00B518AA"/>
    <w:rsid w:val="00B519B4"/>
    <w:rsid w:val="00B51ABE"/>
    <w:rsid w:val="00B51C84"/>
    <w:rsid w:val="00B51D35"/>
    <w:rsid w:val="00B51F55"/>
    <w:rsid w:val="00B5210F"/>
    <w:rsid w:val="00B524F0"/>
    <w:rsid w:val="00B5263F"/>
    <w:rsid w:val="00B527EA"/>
    <w:rsid w:val="00B52AF4"/>
    <w:rsid w:val="00B52D8B"/>
    <w:rsid w:val="00B532DA"/>
    <w:rsid w:val="00B53328"/>
    <w:rsid w:val="00B53398"/>
    <w:rsid w:val="00B533C9"/>
    <w:rsid w:val="00B53430"/>
    <w:rsid w:val="00B5354A"/>
    <w:rsid w:val="00B5355A"/>
    <w:rsid w:val="00B537EC"/>
    <w:rsid w:val="00B5383F"/>
    <w:rsid w:val="00B53C6B"/>
    <w:rsid w:val="00B53F24"/>
    <w:rsid w:val="00B5410E"/>
    <w:rsid w:val="00B54128"/>
    <w:rsid w:val="00B541B4"/>
    <w:rsid w:val="00B543EB"/>
    <w:rsid w:val="00B549E3"/>
    <w:rsid w:val="00B54BF7"/>
    <w:rsid w:val="00B54D77"/>
    <w:rsid w:val="00B54E9A"/>
    <w:rsid w:val="00B54ECF"/>
    <w:rsid w:val="00B55432"/>
    <w:rsid w:val="00B55636"/>
    <w:rsid w:val="00B55A02"/>
    <w:rsid w:val="00B55D54"/>
    <w:rsid w:val="00B55E3B"/>
    <w:rsid w:val="00B55FCF"/>
    <w:rsid w:val="00B56152"/>
    <w:rsid w:val="00B56189"/>
    <w:rsid w:val="00B563B2"/>
    <w:rsid w:val="00B56788"/>
    <w:rsid w:val="00B56859"/>
    <w:rsid w:val="00B56978"/>
    <w:rsid w:val="00B56DEF"/>
    <w:rsid w:val="00B56F74"/>
    <w:rsid w:val="00B5718D"/>
    <w:rsid w:val="00B5745A"/>
    <w:rsid w:val="00B57599"/>
    <w:rsid w:val="00B57621"/>
    <w:rsid w:val="00B57675"/>
    <w:rsid w:val="00B57715"/>
    <w:rsid w:val="00B577C0"/>
    <w:rsid w:val="00B57800"/>
    <w:rsid w:val="00B57849"/>
    <w:rsid w:val="00B5797E"/>
    <w:rsid w:val="00B57A16"/>
    <w:rsid w:val="00B57A23"/>
    <w:rsid w:val="00B604F6"/>
    <w:rsid w:val="00B6067E"/>
    <w:rsid w:val="00B606CD"/>
    <w:rsid w:val="00B60ABC"/>
    <w:rsid w:val="00B60B11"/>
    <w:rsid w:val="00B60BCF"/>
    <w:rsid w:val="00B60C91"/>
    <w:rsid w:val="00B60D79"/>
    <w:rsid w:val="00B60F18"/>
    <w:rsid w:val="00B60FAF"/>
    <w:rsid w:val="00B60FB3"/>
    <w:rsid w:val="00B61035"/>
    <w:rsid w:val="00B613A2"/>
    <w:rsid w:val="00B61650"/>
    <w:rsid w:val="00B61DCE"/>
    <w:rsid w:val="00B62043"/>
    <w:rsid w:val="00B620AB"/>
    <w:rsid w:val="00B6219F"/>
    <w:rsid w:val="00B62470"/>
    <w:rsid w:val="00B62702"/>
    <w:rsid w:val="00B6276C"/>
    <w:rsid w:val="00B6277A"/>
    <w:rsid w:val="00B62936"/>
    <w:rsid w:val="00B62A02"/>
    <w:rsid w:val="00B62A23"/>
    <w:rsid w:val="00B62F0C"/>
    <w:rsid w:val="00B62FFF"/>
    <w:rsid w:val="00B6303A"/>
    <w:rsid w:val="00B631A9"/>
    <w:rsid w:val="00B6331C"/>
    <w:rsid w:val="00B63384"/>
    <w:rsid w:val="00B63456"/>
    <w:rsid w:val="00B635BF"/>
    <w:rsid w:val="00B63894"/>
    <w:rsid w:val="00B6396D"/>
    <w:rsid w:val="00B63C7D"/>
    <w:rsid w:val="00B63E77"/>
    <w:rsid w:val="00B63FE8"/>
    <w:rsid w:val="00B640E1"/>
    <w:rsid w:val="00B64112"/>
    <w:rsid w:val="00B6436B"/>
    <w:rsid w:val="00B64458"/>
    <w:rsid w:val="00B645B8"/>
    <w:rsid w:val="00B645E4"/>
    <w:rsid w:val="00B645F0"/>
    <w:rsid w:val="00B6463D"/>
    <w:rsid w:val="00B64798"/>
    <w:rsid w:val="00B6482A"/>
    <w:rsid w:val="00B649EC"/>
    <w:rsid w:val="00B64A30"/>
    <w:rsid w:val="00B64B4F"/>
    <w:rsid w:val="00B64DC2"/>
    <w:rsid w:val="00B64F0D"/>
    <w:rsid w:val="00B651E3"/>
    <w:rsid w:val="00B65421"/>
    <w:rsid w:val="00B65466"/>
    <w:rsid w:val="00B6546A"/>
    <w:rsid w:val="00B6580C"/>
    <w:rsid w:val="00B658E9"/>
    <w:rsid w:val="00B65937"/>
    <w:rsid w:val="00B65CF1"/>
    <w:rsid w:val="00B65D1A"/>
    <w:rsid w:val="00B65D68"/>
    <w:rsid w:val="00B65DEB"/>
    <w:rsid w:val="00B65DF0"/>
    <w:rsid w:val="00B65E4E"/>
    <w:rsid w:val="00B65E9D"/>
    <w:rsid w:val="00B6617E"/>
    <w:rsid w:val="00B662FD"/>
    <w:rsid w:val="00B66368"/>
    <w:rsid w:val="00B66375"/>
    <w:rsid w:val="00B6653D"/>
    <w:rsid w:val="00B6697C"/>
    <w:rsid w:val="00B669E7"/>
    <w:rsid w:val="00B66BB9"/>
    <w:rsid w:val="00B66D1C"/>
    <w:rsid w:val="00B66DF0"/>
    <w:rsid w:val="00B66E45"/>
    <w:rsid w:val="00B66ECF"/>
    <w:rsid w:val="00B6701A"/>
    <w:rsid w:val="00B67125"/>
    <w:rsid w:val="00B672BF"/>
    <w:rsid w:val="00B674E1"/>
    <w:rsid w:val="00B6797E"/>
    <w:rsid w:val="00B67BAE"/>
    <w:rsid w:val="00B67DC9"/>
    <w:rsid w:val="00B67E1B"/>
    <w:rsid w:val="00B67F96"/>
    <w:rsid w:val="00B67FB6"/>
    <w:rsid w:val="00B700E1"/>
    <w:rsid w:val="00B703D1"/>
    <w:rsid w:val="00B70486"/>
    <w:rsid w:val="00B705A8"/>
    <w:rsid w:val="00B7068D"/>
    <w:rsid w:val="00B707B3"/>
    <w:rsid w:val="00B70875"/>
    <w:rsid w:val="00B7097D"/>
    <w:rsid w:val="00B709BB"/>
    <w:rsid w:val="00B70E35"/>
    <w:rsid w:val="00B713BE"/>
    <w:rsid w:val="00B71515"/>
    <w:rsid w:val="00B7157F"/>
    <w:rsid w:val="00B71932"/>
    <w:rsid w:val="00B7199B"/>
    <w:rsid w:val="00B71CC7"/>
    <w:rsid w:val="00B71E92"/>
    <w:rsid w:val="00B71EFA"/>
    <w:rsid w:val="00B71F31"/>
    <w:rsid w:val="00B72505"/>
    <w:rsid w:val="00B725BE"/>
    <w:rsid w:val="00B72620"/>
    <w:rsid w:val="00B7296B"/>
    <w:rsid w:val="00B72B95"/>
    <w:rsid w:val="00B72D85"/>
    <w:rsid w:val="00B7301E"/>
    <w:rsid w:val="00B73497"/>
    <w:rsid w:val="00B73509"/>
    <w:rsid w:val="00B735E8"/>
    <w:rsid w:val="00B736A0"/>
    <w:rsid w:val="00B73BF5"/>
    <w:rsid w:val="00B73D10"/>
    <w:rsid w:val="00B73E13"/>
    <w:rsid w:val="00B73ECA"/>
    <w:rsid w:val="00B740DB"/>
    <w:rsid w:val="00B74110"/>
    <w:rsid w:val="00B74302"/>
    <w:rsid w:val="00B743B2"/>
    <w:rsid w:val="00B745B2"/>
    <w:rsid w:val="00B74787"/>
    <w:rsid w:val="00B7493F"/>
    <w:rsid w:val="00B74B38"/>
    <w:rsid w:val="00B752D3"/>
    <w:rsid w:val="00B754FA"/>
    <w:rsid w:val="00B75743"/>
    <w:rsid w:val="00B759C4"/>
    <w:rsid w:val="00B75D52"/>
    <w:rsid w:val="00B75EF9"/>
    <w:rsid w:val="00B75F1F"/>
    <w:rsid w:val="00B75FBA"/>
    <w:rsid w:val="00B75FE7"/>
    <w:rsid w:val="00B76291"/>
    <w:rsid w:val="00B76450"/>
    <w:rsid w:val="00B76525"/>
    <w:rsid w:val="00B76583"/>
    <w:rsid w:val="00B76807"/>
    <w:rsid w:val="00B76AAC"/>
    <w:rsid w:val="00B76DA4"/>
    <w:rsid w:val="00B76E7E"/>
    <w:rsid w:val="00B76E8B"/>
    <w:rsid w:val="00B7757D"/>
    <w:rsid w:val="00B776C5"/>
    <w:rsid w:val="00B77788"/>
    <w:rsid w:val="00B77844"/>
    <w:rsid w:val="00B7785A"/>
    <w:rsid w:val="00B77969"/>
    <w:rsid w:val="00B77B0D"/>
    <w:rsid w:val="00B77D6D"/>
    <w:rsid w:val="00B77FEB"/>
    <w:rsid w:val="00B80043"/>
    <w:rsid w:val="00B80292"/>
    <w:rsid w:val="00B802F2"/>
    <w:rsid w:val="00B80663"/>
    <w:rsid w:val="00B809E6"/>
    <w:rsid w:val="00B80BAF"/>
    <w:rsid w:val="00B80F47"/>
    <w:rsid w:val="00B80F64"/>
    <w:rsid w:val="00B8119E"/>
    <w:rsid w:val="00B811F2"/>
    <w:rsid w:val="00B811FE"/>
    <w:rsid w:val="00B8121C"/>
    <w:rsid w:val="00B81385"/>
    <w:rsid w:val="00B8154A"/>
    <w:rsid w:val="00B81634"/>
    <w:rsid w:val="00B81697"/>
    <w:rsid w:val="00B816C5"/>
    <w:rsid w:val="00B817A7"/>
    <w:rsid w:val="00B819F8"/>
    <w:rsid w:val="00B81B45"/>
    <w:rsid w:val="00B81C78"/>
    <w:rsid w:val="00B81D34"/>
    <w:rsid w:val="00B82077"/>
    <w:rsid w:val="00B8225A"/>
    <w:rsid w:val="00B8269B"/>
    <w:rsid w:val="00B827D0"/>
    <w:rsid w:val="00B82863"/>
    <w:rsid w:val="00B82C12"/>
    <w:rsid w:val="00B82C71"/>
    <w:rsid w:val="00B82C98"/>
    <w:rsid w:val="00B82CBE"/>
    <w:rsid w:val="00B82D6A"/>
    <w:rsid w:val="00B82D85"/>
    <w:rsid w:val="00B82F96"/>
    <w:rsid w:val="00B83249"/>
    <w:rsid w:val="00B8349C"/>
    <w:rsid w:val="00B8351E"/>
    <w:rsid w:val="00B83864"/>
    <w:rsid w:val="00B83870"/>
    <w:rsid w:val="00B839EC"/>
    <w:rsid w:val="00B839F3"/>
    <w:rsid w:val="00B83A95"/>
    <w:rsid w:val="00B83B2A"/>
    <w:rsid w:val="00B83D64"/>
    <w:rsid w:val="00B84012"/>
    <w:rsid w:val="00B841EF"/>
    <w:rsid w:val="00B842C1"/>
    <w:rsid w:val="00B844A3"/>
    <w:rsid w:val="00B8476C"/>
    <w:rsid w:val="00B84C79"/>
    <w:rsid w:val="00B84CBF"/>
    <w:rsid w:val="00B84CF4"/>
    <w:rsid w:val="00B8501F"/>
    <w:rsid w:val="00B85097"/>
    <w:rsid w:val="00B850A9"/>
    <w:rsid w:val="00B85191"/>
    <w:rsid w:val="00B853D3"/>
    <w:rsid w:val="00B85702"/>
    <w:rsid w:val="00B85947"/>
    <w:rsid w:val="00B85A0F"/>
    <w:rsid w:val="00B85A30"/>
    <w:rsid w:val="00B85CD1"/>
    <w:rsid w:val="00B85D33"/>
    <w:rsid w:val="00B85F9D"/>
    <w:rsid w:val="00B85FE1"/>
    <w:rsid w:val="00B86196"/>
    <w:rsid w:val="00B861D8"/>
    <w:rsid w:val="00B866DA"/>
    <w:rsid w:val="00B8679A"/>
    <w:rsid w:val="00B868AF"/>
    <w:rsid w:val="00B86A92"/>
    <w:rsid w:val="00B86D84"/>
    <w:rsid w:val="00B86DAF"/>
    <w:rsid w:val="00B86E06"/>
    <w:rsid w:val="00B86EE5"/>
    <w:rsid w:val="00B87010"/>
    <w:rsid w:val="00B870BB"/>
    <w:rsid w:val="00B872C0"/>
    <w:rsid w:val="00B87327"/>
    <w:rsid w:val="00B8742B"/>
    <w:rsid w:val="00B8754C"/>
    <w:rsid w:val="00B87BB6"/>
    <w:rsid w:val="00B87E25"/>
    <w:rsid w:val="00B900CE"/>
    <w:rsid w:val="00B90160"/>
    <w:rsid w:val="00B9034C"/>
    <w:rsid w:val="00B90619"/>
    <w:rsid w:val="00B90A81"/>
    <w:rsid w:val="00B90B9A"/>
    <w:rsid w:val="00B90C8B"/>
    <w:rsid w:val="00B90CFA"/>
    <w:rsid w:val="00B90D1A"/>
    <w:rsid w:val="00B9126F"/>
    <w:rsid w:val="00B91650"/>
    <w:rsid w:val="00B91914"/>
    <w:rsid w:val="00B91926"/>
    <w:rsid w:val="00B91A27"/>
    <w:rsid w:val="00B920D7"/>
    <w:rsid w:val="00B92338"/>
    <w:rsid w:val="00B923B9"/>
    <w:rsid w:val="00B92443"/>
    <w:rsid w:val="00B925B4"/>
    <w:rsid w:val="00B927BC"/>
    <w:rsid w:val="00B927E7"/>
    <w:rsid w:val="00B929AE"/>
    <w:rsid w:val="00B92A47"/>
    <w:rsid w:val="00B92EA4"/>
    <w:rsid w:val="00B92EDD"/>
    <w:rsid w:val="00B92F90"/>
    <w:rsid w:val="00B9314B"/>
    <w:rsid w:val="00B93274"/>
    <w:rsid w:val="00B93283"/>
    <w:rsid w:val="00B933AE"/>
    <w:rsid w:val="00B93460"/>
    <w:rsid w:val="00B93637"/>
    <w:rsid w:val="00B93730"/>
    <w:rsid w:val="00B93796"/>
    <w:rsid w:val="00B937AF"/>
    <w:rsid w:val="00B938C9"/>
    <w:rsid w:val="00B93993"/>
    <w:rsid w:val="00B939A8"/>
    <w:rsid w:val="00B93B38"/>
    <w:rsid w:val="00B93EBF"/>
    <w:rsid w:val="00B93FF1"/>
    <w:rsid w:val="00B9404B"/>
    <w:rsid w:val="00B941F1"/>
    <w:rsid w:val="00B945E1"/>
    <w:rsid w:val="00B94920"/>
    <w:rsid w:val="00B9492B"/>
    <w:rsid w:val="00B94B4C"/>
    <w:rsid w:val="00B95148"/>
    <w:rsid w:val="00B95314"/>
    <w:rsid w:val="00B953A9"/>
    <w:rsid w:val="00B956AE"/>
    <w:rsid w:val="00B95788"/>
    <w:rsid w:val="00B95ABC"/>
    <w:rsid w:val="00B95E4C"/>
    <w:rsid w:val="00B9607D"/>
    <w:rsid w:val="00B96190"/>
    <w:rsid w:val="00B9621E"/>
    <w:rsid w:val="00B96224"/>
    <w:rsid w:val="00B96368"/>
    <w:rsid w:val="00B96386"/>
    <w:rsid w:val="00B96404"/>
    <w:rsid w:val="00B9660D"/>
    <w:rsid w:val="00B96D52"/>
    <w:rsid w:val="00B96E11"/>
    <w:rsid w:val="00B96FE4"/>
    <w:rsid w:val="00B96FF8"/>
    <w:rsid w:val="00B9721A"/>
    <w:rsid w:val="00B9726D"/>
    <w:rsid w:val="00B97470"/>
    <w:rsid w:val="00B97845"/>
    <w:rsid w:val="00B9790B"/>
    <w:rsid w:val="00B97949"/>
    <w:rsid w:val="00B97B24"/>
    <w:rsid w:val="00B97BA6"/>
    <w:rsid w:val="00B97F85"/>
    <w:rsid w:val="00B97FA9"/>
    <w:rsid w:val="00BA0014"/>
    <w:rsid w:val="00BA0146"/>
    <w:rsid w:val="00BA022C"/>
    <w:rsid w:val="00BA029C"/>
    <w:rsid w:val="00BA02CF"/>
    <w:rsid w:val="00BA05D1"/>
    <w:rsid w:val="00BA071C"/>
    <w:rsid w:val="00BA0824"/>
    <w:rsid w:val="00BA086C"/>
    <w:rsid w:val="00BA0ABA"/>
    <w:rsid w:val="00BA0C8F"/>
    <w:rsid w:val="00BA0D0A"/>
    <w:rsid w:val="00BA1052"/>
    <w:rsid w:val="00BA1076"/>
    <w:rsid w:val="00BA109F"/>
    <w:rsid w:val="00BA10D7"/>
    <w:rsid w:val="00BA1213"/>
    <w:rsid w:val="00BA12F6"/>
    <w:rsid w:val="00BA133E"/>
    <w:rsid w:val="00BA1592"/>
    <w:rsid w:val="00BA1911"/>
    <w:rsid w:val="00BA19B4"/>
    <w:rsid w:val="00BA232C"/>
    <w:rsid w:val="00BA23EF"/>
    <w:rsid w:val="00BA26A9"/>
    <w:rsid w:val="00BA26F5"/>
    <w:rsid w:val="00BA2831"/>
    <w:rsid w:val="00BA28F0"/>
    <w:rsid w:val="00BA2921"/>
    <w:rsid w:val="00BA2B1D"/>
    <w:rsid w:val="00BA2EBA"/>
    <w:rsid w:val="00BA322A"/>
    <w:rsid w:val="00BA322C"/>
    <w:rsid w:val="00BA3347"/>
    <w:rsid w:val="00BA33F1"/>
    <w:rsid w:val="00BA34B5"/>
    <w:rsid w:val="00BA34C9"/>
    <w:rsid w:val="00BA3686"/>
    <w:rsid w:val="00BA3997"/>
    <w:rsid w:val="00BA39A9"/>
    <w:rsid w:val="00BA3BCF"/>
    <w:rsid w:val="00BA3E5E"/>
    <w:rsid w:val="00BA3F37"/>
    <w:rsid w:val="00BA4295"/>
    <w:rsid w:val="00BA4478"/>
    <w:rsid w:val="00BA458F"/>
    <w:rsid w:val="00BA4A58"/>
    <w:rsid w:val="00BA4A5D"/>
    <w:rsid w:val="00BA4B96"/>
    <w:rsid w:val="00BA4DF4"/>
    <w:rsid w:val="00BA4E82"/>
    <w:rsid w:val="00BA5080"/>
    <w:rsid w:val="00BA510A"/>
    <w:rsid w:val="00BA5508"/>
    <w:rsid w:val="00BA556F"/>
    <w:rsid w:val="00BA56D7"/>
    <w:rsid w:val="00BA5975"/>
    <w:rsid w:val="00BA5F39"/>
    <w:rsid w:val="00BA6184"/>
    <w:rsid w:val="00BA621B"/>
    <w:rsid w:val="00BA66B9"/>
    <w:rsid w:val="00BA6974"/>
    <w:rsid w:val="00BA6B5B"/>
    <w:rsid w:val="00BA71AF"/>
    <w:rsid w:val="00BA7378"/>
    <w:rsid w:val="00BA73A6"/>
    <w:rsid w:val="00BA7456"/>
    <w:rsid w:val="00BA7641"/>
    <w:rsid w:val="00BA776B"/>
    <w:rsid w:val="00BA78F0"/>
    <w:rsid w:val="00BA7D7E"/>
    <w:rsid w:val="00BA7E12"/>
    <w:rsid w:val="00BA7E8D"/>
    <w:rsid w:val="00BB0069"/>
    <w:rsid w:val="00BB01EA"/>
    <w:rsid w:val="00BB048A"/>
    <w:rsid w:val="00BB05E3"/>
    <w:rsid w:val="00BB08EA"/>
    <w:rsid w:val="00BB09A2"/>
    <w:rsid w:val="00BB0C5C"/>
    <w:rsid w:val="00BB0CA4"/>
    <w:rsid w:val="00BB0EFD"/>
    <w:rsid w:val="00BB0F6A"/>
    <w:rsid w:val="00BB1149"/>
    <w:rsid w:val="00BB11EC"/>
    <w:rsid w:val="00BB1225"/>
    <w:rsid w:val="00BB14E5"/>
    <w:rsid w:val="00BB152F"/>
    <w:rsid w:val="00BB1717"/>
    <w:rsid w:val="00BB17B4"/>
    <w:rsid w:val="00BB1842"/>
    <w:rsid w:val="00BB192A"/>
    <w:rsid w:val="00BB192F"/>
    <w:rsid w:val="00BB1B1D"/>
    <w:rsid w:val="00BB1B8A"/>
    <w:rsid w:val="00BB1C0E"/>
    <w:rsid w:val="00BB1C80"/>
    <w:rsid w:val="00BB1CC5"/>
    <w:rsid w:val="00BB1D0F"/>
    <w:rsid w:val="00BB1DB3"/>
    <w:rsid w:val="00BB1F63"/>
    <w:rsid w:val="00BB207E"/>
    <w:rsid w:val="00BB21E5"/>
    <w:rsid w:val="00BB21F4"/>
    <w:rsid w:val="00BB2302"/>
    <w:rsid w:val="00BB24F3"/>
    <w:rsid w:val="00BB283C"/>
    <w:rsid w:val="00BB28A7"/>
    <w:rsid w:val="00BB2A40"/>
    <w:rsid w:val="00BB2A74"/>
    <w:rsid w:val="00BB2CD2"/>
    <w:rsid w:val="00BB2E38"/>
    <w:rsid w:val="00BB2EC8"/>
    <w:rsid w:val="00BB316E"/>
    <w:rsid w:val="00BB31EE"/>
    <w:rsid w:val="00BB3201"/>
    <w:rsid w:val="00BB3264"/>
    <w:rsid w:val="00BB328D"/>
    <w:rsid w:val="00BB335D"/>
    <w:rsid w:val="00BB34CD"/>
    <w:rsid w:val="00BB3537"/>
    <w:rsid w:val="00BB3566"/>
    <w:rsid w:val="00BB3980"/>
    <w:rsid w:val="00BB39E7"/>
    <w:rsid w:val="00BB3AC8"/>
    <w:rsid w:val="00BB3C0F"/>
    <w:rsid w:val="00BB3C99"/>
    <w:rsid w:val="00BB3CB2"/>
    <w:rsid w:val="00BB3D4A"/>
    <w:rsid w:val="00BB40A5"/>
    <w:rsid w:val="00BB4189"/>
    <w:rsid w:val="00BB4501"/>
    <w:rsid w:val="00BB4664"/>
    <w:rsid w:val="00BB474B"/>
    <w:rsid w:val="00BB476B"/>
    <w:rsid w:val="00BB4804"/>
    <w:rsid w:val="00BB487A"/>
    <w:rsid w:val="00BB48AA"/>
    <w:rsid w:val="00BB49EE"/>
    <w:rsid w:val="00BB4DD8"/>
    <w:rsid w:val="00BB54B1"/>
    <w:rsid w:val="00BB5625"/>
    <w:rsid w:val="00BB5656"/>
    <w:rsid w:val="00BB5738"/>
    <w:rsid w:val="00BB5E55"/>
    <w:rsid w:val="00BB61A0"/>
    <w:rsid w:val="00BB62D6"/>
    <w:rsid w:val="00BB63B3"/>
    <w:rsid w:val="00BB642C"/>
    <w:rsid w:val="00BB64F8"/>
    <w:rsid w:val="00BB6606"/>
    <w:rsid w:val="00BB663A"/>
    <w:rsid w:val="00BB664D"/>
    <w:rsid w:val="00BB66A5"/>
    <w:rsid w:val="00BB66E0"/>
    <w:rsid w:val="00BB6734"/>
    <w:rsid w:val="00BB6951"/>
    <w:rsid w:val="00BB69C1"/>
    <w:rsid w:val="00BB6B4C"/>
    <w:rsid w:val="00BB6B4E"/>
    <w:rsid w:val="00BB6BD1"/>
    <w:rsid w:val="00BB6D00"/>
    <w:rsid w:val="00BB6EFC"/>
    <w:rsid w:val="00BB6F41"/>
    <w:rsid w:val="00BB7061"/>
    <w:rsid w:val="00BB7111"/>
    <w:rsid w:val="00BB7115"/>
    <w:rsid w:val="00BB754C"/>
    <w:rsid w:val="00BB7573"/>
    <w:rsid w:val="00BB7575"/>
    <w:rsid w:val="00BB7735"/>
    <w:rsid w:val="00BB787D"/>
    <w:rsid w:val="00BB787F"/>
    <w:rsid w:val="00BB78ED"/>
    <w:rsid w:val="00BB7913"/>
    <w:rsid w:val="00BB7915"/>
    <w:rsid w:val="00BB7A25"/>
    <w:rsid w:val="00BB7BB5"/>
    <w:rsid w:val="00BB7FAD"/>
    <w:rsid w:val="00BC00A8"/>
    <w:rsid w:val="00BC00CD"/>
    <w:rsid w:val="00BC029C"/>
    <w:rsid w:val="00BC0374"/>
    <w:rsid w:val="00BC04CB"/>
    <w:rsid w:val="00BC053F"/>
    <w:rsid w:val="00BC055C"/>
    <w:rsid w:val="00BC0674"/>
    <w:rsid w:val="00BC07D9"/>
    <w:rsid w:val="00BC08C3"/>
    <w:rsid w:val="00BC0A12"/>
    <w:rsid w:val="00BC0AD6"/>
    <w:rsid w:val="00BC0D15"/>
    <w:rsid w:val="00BC1081"/>
    <w:rsid w:val="00BC1190"/>
    <w:rsid w:val="00BC129C"/>
    <w:rsid w:val="00BC12F4"/>
    <w:rsid w:val="00BC1409"/>
    <w:rsid w:val="00BC1445"/>
    <w:rsid w:val="00BC15EC"/>
    <w:rsid w:val="00BC17D9"/>
    <w:rsid w:val="00BC1A2F"/>
    <w:rsid w:val="00BC1BD9"/>
    <w:rsid w:val="00BC1D45"/>
    <w:rsid w:val="00BC23E2"/>
    <w:rsid w:val="00BC2405"/>
    <w:rsid w:val="00BC2479"/>
    <w:rsid w:val="00BC25F7"/>
    <w:rsid w:val="00BC26FB"/>
    <w:rsid w:val="00BC2907"/>
    <w:rsid w:val="00BC2D09"/>
    <w:rsid w:val="00BC2D6D"/>
    <w:rsid w:val="00BC2E5F"/>
    <w:rsid w:val="00BC3085"/>
    <w:rsid w:val="00BC3694"/>
    <w:rsid w:val="00BC36D4"/>
    <w:rsid w:val="00BC36FB"/>
    <w:rsid w:val="00BC3829"/>
    <w:rsid w:val="00BC3A6D"/>
    <w:rsid w:val="00BC3AB8"/>
    <w:rsid w:val="00BC3B7C"/>
    <w:rsid w:val="00BC3BB6"/>
    <w:rsid w:val="00BC3D2E"/>
    <w:rsid w:val="00BC3F49"/>
    <w:rsid w:val="00BC3F51"/>
    <w:rsid w:val="00BC4266"/>
    <w:rsid w:val="00BC4471"/>
    <w:rsid w:val="00BC47FB"/>
    <w:rsid w:val="00BC49C4"/>
    <w:rsid w:val="00BC4BD7"/>
    <w:rsid w:val="00BC4D17"/>
    <w:rsid w:val="00BC4D23"/>
    <w:rsid w:val="00BC4DCA"/>
    <w:rsid w:val="00BC4E3D"/>
    <w:rsid w:val="00BC5057"/>
    <w:rsid w:val="00BC50B1"/>
    <w:rsid w:val="00BC52F1"/>
    <w:rsid w:val="00BC53E7"/>
    <w:rsid w:val="00BC5412"/>
    <w:rsid w:val="00BC544A"/>
    <w:rsid w:val="00BC5580"/>
    <w:rsid w:val="00BC5CA8"/>
    <w:rsid w:val="00BC5D4B"/>
    <w:rsid w:val="00BC5E11"/>
    <w:rsid w:val="00BC6134"/>
    <w:rsid w:val="00BC623C"/>
    <w:rsid w:val="00BC6442"/>
    <w:rsid w:val="00BC6637"/>
    <w:rsid w:val="00BC6719"/>
    <w:rsid w:val="00BC6A6F"/>
    <w:rsid w:val="00BC6B8A"/>
    <w:rsid w:val="00BC6CC1"/>
    <w:rsid w:val="00BC6DB7"/>
    <w:rsid w:val="00BC6DBC"/>
    <w:rsid w:val="00BC6E0D"/>
    <w:rsid w:val="00BC71EA"/>
    <w:rsid w:val="00BC72B4"/>
    <w:rsid w:val="00BC75D2"/>
    <w:rsid w:val="00BC76EB"/>
    <w:rsid w:val="00BC77F8"/>
    <w:rsid w:val="00BC7E6C"/>
    <w:rsid w:val="00BC7FF5"/>
    <w:rsid w:val="00BCF5DE"/>
    <w:rsid w:val="00BD00C7"/>
    <w:rsid w:val="00BD0645"/>
    <w:rsid w:val="00BD09B1"/>
    <w:rsid w:val="00BD09BC"/>
    <w:rsid w:val="00BD0CEA"/>
    <w:rsid w:val="00BD0E27"/>
    <w:rsid w:val="00BD1486"/>
    <w:rsid w:val="00BD1625"/>
    <w:rsid w:val="00BD17CF"/>
    <w:rsid w:val="00BD18B1"/>
    <w:rsid w:val="00BD199E"/>
    <w:rsid w:val="00BD1A0C"/>
    <w:rsid w:val="00BD1DCD"/>
    <w:rsid w:val="00BD1E72"/>
    <w:rsid w:val="00BD1ED0"/>
    <w:rsid w:val="00BD20F3"/>
    <w:rsid w:val="00BD21FA"/>
    <w:rsid w:val="00BD2210"/>
    <w:rsid w:val="00BD22C8"/>
    <w:rsid w:val="00BD2815"/>
    <w:rsid w:val="00BD28AB"/>
    <w:rsid w:val="00BD28E2"/>
    <w:rsid w:val="00BD29A7"/>
    <w:rsid w:val="00BD29B2"/>
    <w:rsid w:val="00BD29D9"/>
    <w:rsid w:val="00BD2D4F"/>
    <w:rsid w:val="00BD2DF0"/>
    <w:rsid w:val="00BD32AC"/>
    <w:rsid w:val="00BD3395"/>
    <w:rsid w:val="00BD3504"/>
    <w:rsid w:val="00BD36ED"/>
    <w:rsid w:val="00BD3789"/>
    <w:rsid w:val="00BD388B"/>
    <w:rsid w:val="00BD3904"/>
    <w:rsid w:val="00BD39DB"/>
    <w:rsid w:val="00BD3A6D"/>
    <w:rsid w:val="00BD3B09"/>
    <w:rsid w:val="00BD3BF2"/>
    <w:rsid w:val="00BD3C35"/>
    <w:rsid w:val="00BD3D5B"/>
    <w:rsid w:val="00BD40D6"/>
    <w:rsid w:val="00BD4316"/>
    <w:rsid w:val="00BD450B"/>
    <w:rsid w:val="00BD454E"/>
    <w:rsid w:val="00BD48A0"/>
    <w:rsid w:val="00BD4C10"/>
    <w:rsid w:val="00BD4E5E"/>
    <w:rsid w:val="00BD4ECE"/>
    <w:rsid w:val="00BD4FB9"/>
    <w:rsid w:val="00BD50BB"/>
    <w:rsid w:val="00BD5102"/>
    <w:rsid w:val="00BD513F"/>
    <w:rsid w:val="00BD5499"/>
    <w:rsid w:val="00BD577A"/>
    <w:rsid w:val="00BD59C6"/>
    <w:rsid w:val="00BD5AEC"/>
    <w:rsid w:val="00BD5BB3"/>
    <w:rsid w:val="00BD6586"/>
    <w:rsid w:val="00BD65C6"/>
    <w:rsid w:val="00BD6D5E"/>
    <w:rsid w:val="00BD6E0C"/>
    <w:rsid w:val="00BD6F5F"/>
    <w:rsid w:val="00BD72A9"/>
    <w:rsid w:val="00BD7482"/>
    <w:rsid w:val="00BD75B9"/>
    <w:rsid w:val="00BD76F3"/>
    <w:rsid w:val="00BD77C6"/>
    <w:rsid w:val="00BD7912"/>
    <w:rsid w:val="00BD79F9"/>
    <w:rsid w:val="00BD7C27"/>
    <w:rsid w:val="00BD7D1F"/>
    <w:rsid w:val="00BD7D96"/>
    <w:rsid w:val="00BE02F9"/>
    <w:rsid w:val="00BE03AF"/>
    <w:rsid w:val="00BE03B8"/>
    <w:rsid w:val="00BE0436"/>
    <w:rsid w:val="00BE0489"/>
    <w:rsid w:val="00BE0770"/>
    <w:rsid w:val="00BE0ADF"/>
    <w:rsid w:val="00BE0C4A"/>
    <w:rsid w:val="00BE0CCA"/>
    <w:rsid w:val="00BE0CD6"/>
    <w:rsid w:val="00BE0CF7"/>
    <w:rsid w:val="00BE1082"/>
    <w:rsid w:val="00BE10AB"/>
    <w:rsid w:val="00BE1160"/>
    <w:rsid w:val="00BE11B2"/>
    <w:rsid w:val="00BE1248"/>
    <w:rsid w:val="00BE124B"/>
    <w:rsid w:val="00BE1454"/>
    <w:rsid w:val="00BE1464"/>
    <w:rsid w:val="00BE161A"/>
    <w:rsid w:val="00BE1855"/>
    <w:rsid w:val="00BE18C8"/>
    <w:rsid w:val="00BE19C7"/>
    <w:rsid w:val="00BE19DA"/>
    <w:rsid w:val="00BE1B14"/>
    <w:rsid w:val="00BE218C"/>
    <w:rsid w:val="00BE21BD"/>
    <w:rsid w:val="00BE23FE"/>
    <w:rsid w:val="00BE2403"/>
    <w:rsid w:val="00BE258E"/>
    <w:rsid w:val="00BE26E7"/>
    <w:rsid w:val="00BE2809"/>
    <w:rsid w:val="00BE2876"/>
    <w:rsid w:val="00BE28C7"/>
    <w:rsid w:val="00BE2987"/>
    <w:rsid w:val="00BE2FD8"/>
    <w:rsid w:val="00BE3668"/>
    <w:rsid w:val="00BE371D"/>
    <w:rsid w:val="00BE3785"/>
    <w:rsid w:val="00BE38F6"/>
    <w:rsid w:val="00BE39B2"/>
    <w:rsid w:val="00BE3BC6"/>
    <w:rsid w:val="00BE3D55"/>
    <w:rsid w:val="00BE41D4"/>
    <w:rsid w:val="00BE4435"/>
    <w:rsid w:val="00BE452F"/>
    <w:rsid w:val="00BE4897"/>
    <w:rsid w:val="00BE4D55"/>
    <w:rsid w:val="00BE4F99"/>
    <w:rsid w:val="00BE5081"/>
    <w:rsid w:val="00BE5795"/>
    <w:rsid w:val="00BE5887"/>
    <w:rsid w:val="00BE5915"/>
    <w:rsid w:val="00BE598C"/>
    <w:rsid w:val="00BE5BB3"/>
    <w:rsid w:val="00BE5F3C"/>
    <w:rsid w:val="00BE608A"/>
    <w:rsid w:val="00BE60B3"/>
    <w:rsid w:val="00BE6202"/>
    <w:rsid w:val="00BE6309"/>
    <w:rsid w:val="00BE6871"/>
    <w:rsid w:val="00BE689F"/>
    <w:rsid w:val="00BE69FC"/>
    <w:rsid w:val="00BE6DD9"/>
    <w:rsid w:val="00BE74F6"/>
    <w:rsid w:val="00BE7595"/>
    <w:rsid w:val="00BE7AE0"/>
    <w:rsid w:val="00BE7CBF"/>
    <w:rsid w:val="00BE7D2F"/>
    <w:rsid w:val="00BE7FDB"/>
    <w:rsid w:val="00BF04F4"/>
    <w:rsid w:val="00BF05BA"/>
    <w:rsid w:val="00BF0626"/>
    <w:rsid w:val="00BF0B00"/>
    <w:rsid w:val="00BF1193"/>
    <w:rsid w:val="00BF11FC"/>
    <w:rsid w:val="00BF120E"/>
    <w:rsid w:val="00BF175C"/>
    <w:rsid w:val="00BF17ED"/>
    <w:rsid w:val="00BF180C"/>
    <w:rsid w:val="00BF19F2"/>
    <w:rsid w:val="00BF1E4B"/>
    <w:rsid w:val="00BF1F7C"/>
    <w:rsid w:val="00BF208F"/>
    <w:rsid w:val="00BF2179"/>
    <w:rsid w:val="00BF23E1"/>
    <w:rsid w:val="00BF24B9"/>
    <w:rsid w:val="00BF2576"/>
    <w:rsid w:val="00BF26C5"/>
    <w:rsid w:val="00BF28E4"/>
    <w:rsid w:val="00BF298D"/>
    <w:rsid w:val="00BF29C3"/>
    <w:rsid w:val="00BF2AC5"/>
    <w:rsid w:val="00BF2AFB"/>
    <w:rsid w:val="00BF2BDF"/>
    <w:rsid w:val="00BF2D4C"/>
    <w:rsid w:val="00BF2DA5"/>
    <w:rsid w:val="00BF2E9B"/>
    <w:rsid w:val="00BF2FD6"/>
    <w:rsid w:val="00BF3018"/>
    <w:rsid w:val="00BF30B6"/>
    <w:rsid w:val="00BF31D8"/>
    <w:rsid w:val="00BF3272"/>
    <w:rsid w:val="00BF3364"/>
    <w:rsid w:val="00BF33EB"/>
    <w:rsid w:val="00BF3496"/>
    <w:rsid w:val="00BF3757"/>
    <w:rsid w:val="00BF394F"/>
    <w:rsid w:val="00BF3AFD"/>
    <w:rsid w:val="00BF3B5D"/>
    <w:rsid w:val="00BF3D63"/>
    <w:rsid w:val="00BF4007"/>
    <w:rsid w:val="00BF4166"/>
    <w:rsid w:val="00BF4555"/>
    <w:rsid w:val="00BF46FA"/>
    <w:rsid w:val="00BF4C01"/>
    <w:rsid w:val="00BF4C1E"/>
    <w:rsid w:val="00BF4D95"/>
    <w:rsid w:val="00BF4F42"/>
    <w:rsid w:val="00BF4F87"/>
    <w:rsid w:val="00BF4F96"/>
    <w:rsid w:val="00BF54CF"/>
    <w:rsid w:val="00BF5816"/>
    <w:rsid w:val="00BF5C4B"/>
    <w:rsid w:val="00BF5D01"/>
    <w:rsid w:val="00BF5D19"/>
    <w:rsid w:val="00BF5E28"/>
    <w:rsid w:val="00BF5F04"/>
    <w:rsid w:val="00BF6290"/>
    <w:rsid w:val="00BF6343"/>
    <w:rsid w:val="00BF6410"/>
    <w:rsid w:val="00BF650C"/>
    <w:rsid w:val="00BF6755"/>
    <w:rsid w:val="00BF697F"/>
    <w:rsid w:val="00BF6A21"/>
    <w:rsid w:val="00BF6BB2"/>
    <w:rsid w:val="00BF6D1D"/>
    <w:rsid w:val="00BF6D20"/>
    <w:rsid w:val="00BF6E93"/>
    <w:rsid w:val="00BF7060"/>
    <w:rsid w:val="00BF71C5"/>
    <w:rsid w:val="00BF731E"/>
    <w:rsid w:val="00BF737B"/>
    <w:rsid w:val="00BF75E7"/>
    <w:rsid w:val="00BF7606"/>
    <w:rsid w:val="00BF7688"/>
    <w:rsid w:val="00BF7B41"/>
    <w:rsid w:val="00C00100"/>
    <w:rsid w:val="00C00412"/>
    <w:rsid w:val="00C0057D"/>
    <w:rsid w:val="00C00629"/>
    <w:rsid w:val="00C00A0C"/>
    <w:rsid w:val="00C00B54"/>
    <w:rsid w:val="00C00F9D"/>
    <w:rsid w:val="00C01405"/>
    <w:rsid w:val="00C014A2"/>
    <w:rsid w:val="00C01669"/>
    <w:rsid w:val="00C01718"/>
    <w:rsid w:val="00C01853"/>
    <w:rsid w:val="00C01B03"/>
    <w:rsid w:val="00C01FCC"/>
    <w:rsid w:val="00C023CD"/>
    <w:rsid w:val="00C02402"/>
    <w:rsid w:val="00C02894"/>
    <w:rsid w:val="00C02A63"/>
    <w:rsid w:val="00C02A9B"/>
    <w:rsid w:val="00C02BFC"/>
    <w:rsid w:val="00C02DAA"/>
    <w:rsid w:val="00C02DB7"/>
    <w:rsid w:val="00C03437"/>
    <w:rsid w:val="00C0353C"/>
    <w:rsid w:val="00C03598"/>
    <w:rsid w:val="00C03AA8"/>
    <w:rsid w:val="00C03B03"/>
    <w:rsid w:val="00C03E3D"/>
    <w:rsid w:val="00C03F4E"/>
    <w:rsid w:val="00C03FBB"/>
    <w:rsid w:val="00C040C3"/>
    <w:rsid w:val="00C043E0"/>
    <w:rsid w:val="00C0497F"/>
    <w:rsid w:val="00C04A8C"/>
    <w:rsid w:val="00C04F47"/>
    <w:rsid w:val="00C04F90"/>
    <w:rsid w:val="00C0500D"/>
    <w:rsid w:val="00C05174"/>
    <w:rsid w:val="00C051AF"/>
    <w:rsid w:val="00C0549B"/>
    <w:rsid w:val="00C055BE"/>
    <w:rsid w:val="00C05B01"/>
    <w:rsid w:val="00C05BE5"/>
    <w:rsid w:val="00C05C03"/>
    <w:rsid w:val="00C05C5C"/>
    <w:rsid w:val="00C05E66"/>
    <w:rsid w:val="00C06612"/>
    <w:rsid w:val="00C06694"/>
    <w:rsid w:val="00C066F7"/>
    <w:rsid w:val="00C068F2"/>
    <w:rsid w:val="00C06B1C"/>
    <w:rsid w:val="00C06B25"/>
    <w:rsid w:val="00C06C89"/>
    <w:rsid w:val="00C06CEE"/>
    <w:rsid w:val="00C06F3C"/>
    <w:rsid w:val="00C07089"/>
    <w:rsid w:val="00C07580"/>
    <w:rsid w:val="00C07768"/>
    <w:rsid w:val="00C078B3"/>
    <w:rsid w:val="00C07E52"/>
    <w:rsid w:val="00C101B0"/>
    <w:rsid w:val="00C10428"/>
    <w:rsid w:val="00C106F0"/>
    <w:rsid w:val="00C10939"/>
    <w:rsid w:val="00C1095D"/>
    <w:rsid w:val="00C10BCF"/>
    <w:rsid w:val="00C10CAB"/>
    <w:rsid w:val="00C10CBC"/>
    <w:rsid w:val="00C10DC4"/>
    <w:rsid w:val="00C10DC6"/>
    <w:rsid w:val="00C110C6"/>
    <w:rsid w:val="00C111BF"/>
    <w:rsid w:val="00C111DE"/>
    <w:rsid w:val="00C112BB"/>
    <w:rsid w:val="00C113B5"/>
    <w:rsid w:val="00C116EC"/>
    <w:rsid w:val="00C1189D"/>
    <w:rsid w:val="00C11BFD"/>
    <w:rsid w:val="00C11C10"/>
    <w:rsid w:val="00C11D34"/>
    <w:rsid w:val="00C11D45"/>
    <w:rsid w:val="00C12240"/>
    <w:rsid w:val="00C1243B"/>
    <w:rsid w:val="00C124B9"/>
    <w:rsid w:val="00C12540"/>
    <w:rsid w:val="00C12542"/>
    <w:rsid w:val="00C127F8"/>
    <w:rsid w:val="00C12A27"/>
    <w:rsid w:val="00C12EFC"/>
    <w:rsid w:val="00C12F74"/>
    <w:rsid w:val="00C13108"/>
    <w:rsid w:val="00C13215"/>
    <w:rsid w:val="00C13293"/>
    <w:rsid w:val="00C13611"/>
    <w:rsid w:val="00C136B0"/>
    <w:rsid w:val="00C1397A"/>
    <w:rsid w:val="00C13BE2"/>
    <w:rsid w:val="00C13DEF"/>
    <w:rsid w:val="00C13DFA"/>
    <w:rsid w:val="00C13E28"/>
    <w:rsid w:val="00C13F21"/>
    <w:rsid w:val="00C1424D"/>
    <w:rsid w:val="00C14434"/>
    <w:rsid w:val="00C14612"/>
    <w:rsid w:val="00C14679"/>
    <w:rsid w:val="00C147D2"/>
    <w:rsid w:val="00C14B68"/>
    <w:rsid w:val="00C14D7F"/>
    <w:rsid w:val="00C15078"/>
    <w:rsid w:val="00C1515F"/>
    <w:rsid w:val="00C152C1"/>
    <w:rsid w:val="00C153BB"/>
    <w:rsid w:val="00C15553"/>
    <w:rsid w:val="00C157E7"/>
    <w:rsid w:val="00C15882"/>
    <w:rsid w:val="00C1593C"/>
    <w:rsid w:val="00C159A8"/>
    <w:rsid w:val="00C15D5E"/>
    <w:rsid w:val="00C163E9"/>
    <w:rsid w:val="00C16578"/>
    <w:rsid w:val="00C165C6"/>
    <w:rsid w:val="00C166E4"/>
    <w:rsid w:val="00C1682F"/>
    <w:rsid w:val="00C168E5"/>
    <w:rsid w:val="00C169B6"/>
    <w:rsid w:val="00C169D4"/>
    <w:rsid w:val="00C169E8"/>
    <w:rsid w:val="00C16D40"/>
    <w:rsid w:val="00C16E57"/>
    <w:rsid w:val="00C171B0"/>
    <w:rsid w:val="00C17445"/>
    <w:rsid w:val="00C17784"/>
    <w:rsid w:val="00C17B77"/>
    <w:rsid w:val="00C17D52"/>
    <w:rsid w:val="00C17EFF"/>
    <w:rsid w:val="00C20132"/>
    <w:rsid w:val="00C2013F"/>
    <w:rsid w:val="00C20239"/>
    <w:rsid w:val="00C202DD"/>
    <w:rsid w:val="00C20533"/>
    <w:rsid w:val="00C20572"/>
    <w:rsid w:val="00C20614"/>
    <w:rsid w:val="00C20667"/>
    <w:rsid w:val="00C206A5"/>
    <w:rsid w:val="00C20736"/>
    <w:rsid w:val="00C20821"/>
    <w:rsid w:val="00C208F4"/>
    <w:rsid w:val="00C20AAB"/>
    <w:rsid w:val="00C20AC4"/>
    <w:rsid w:val="00C20B9B"/>
    <w:rsid w:val="00C20E68"/>
    <w:rsid w:val="00C20EE0"/>
    <w:rsid w:val="00C20F3D"/>
    <w:rsid w:val="00C21292"/>
    <w:rsid w:val="00C217AE"/>
    <w:rsid w:val="00C217B6"/>
    <w:rsid w:val="00C2181A"/>
    <w:rsid w:val="00C21A69"/>
    <w:rsid w:val="00C21B00"/>
    <w:rsid w:val="00C21C9D"/>
    <w:rsid w:val="00C21CCA"/>
    <w:rsid w:val="00C22033"/>
    <w:rsid w:val="00C226AC"/>
    <w:rsid w:val="00C2278F"/>
    <w:rsid w:val="00C22920"/>
    <w:rsid w:val="00C2294F"/>
    <w:rsid w:val="00C22A24"/>
    <w:rsid w:val="00C22BD2"/>
    <w:rsid w:val="00C22C24"/>
    <w:rsid w:val="00C22C45"/>
    <w:rsid w:val="00C22C54"/>
    <w:rsid w:val="00C22E73"/>
    <w:rsid w:val="00C22F33"/>
    <w:rsid w:val="00C23182"/>
    <w:rsid w:val="00C231B4"/>
    <w:rsid w:val="00C232C1"/>
    <w:rsid w:val="00C2378F"/>
    <w:rsid w:val="00C23BF5"/>
    <w:rsid w:val="00C23C65"/>
    <w:rsid w:val="00C23D86"/>
    <w:rsid w:val="00C23EF6"/>
    <w:rsid w:val="00C24493"/>
    <w:rsid w:val="00C24599"/>
    <w:rsid w:val="00C246B6"/>
    <w:rsid w:val="00C246D1"/>
    <w:rsid w:val="00C24B76"/>
    <w:rsid w:val="00C24B88"/>
    <w:rsid w:val="00C24D8A"/>
    <w:rsid w:val="00C2511C"/>
    <w:rsid w:val="00C25288"/>
    <w:rsid w:val="00C2532F"/>
    <w:rsid w:val="00C25424"/>
    <w:rsid w:val="00C254DF"/>
    <w:rsid w:val="00C255E8"/>
    <w:rsid w:val="00C2588F"/>
    <w:rsid w:val="00C258C8"/>
    <w:rsid w:val="00C25AEB"/>
    <w:rsid w:val="00C25D48"/>
    <w:rsid w:val="00C25DA4"/>
    <w:rsid w:val="00C25F0A"/>
    <w:rsid w:val="00C25F3E"/>
    <w:rsid w:val="00C26003"/>
    <w:rsid w:val="00C2626E"/>
    <w:rsid w:val="00C263BD"/>
    <w:rsid w:val="00C2655E"/>
    <w:rsid w:val="00C26598"/>
    <w:rsid w:val="00C265B1"/>
    <w:rsid w:val="00C266DD"/>
    <w:rsid w:val="00C26AE6"/>
    <w:rsid w:val="00C26B0E"/>
    <w:rsid w:val="00C271AF"/>
    <w:rsid w:val="00C2726D"/>
    <w:rsid w:val="00C27297"/>
    <w:rsid w:val="00C272AE"/>
    <w:rsid w:val="00C27335"/>
    <w:rsid w:val="00C2740C"/>
    <w:rsid w:val="00C27459"/>
    <w:rsid w:val="00C2758D"/>
    <w:rsid w:val="00C2793A"/>
    <w:rsid w:val="00C27C19"/>
    <w:rsid w:val="00C27C9F"/>
    <w:rsid w:val="00C27D23"/>
    <w:rsid w:val="00C27DF8"/>
    <w:rsid w:val="00C27E6B"/>
    <w:rsid w:val="00C27F81"/>
    <w:rsid w:val="00C305A7"/>
    <w:rsid w:val="00C307AD"/>
    <w:rsid w:val="00C30AE0"/>
    <w:rsid w:val="00C30C5D"/>
    <w:rsid w:val="00C30C71"/>
    <w:rsid w:val="00C30D4F"/>
    <w:rsid w:val="00C30F8D"/>
    <w:rsid w:val="00C31077"/>
    <w:rsid w:val="00C3117A"/>
    <w:rsid w:val="00C314D2"/>
    <w:rsid w:val="00C3158B"/>
    <w:rsid w:val="00C31685"/>
    <w:rsid w:val="00C31980"/>
    <w:rsid w:val="00C31A1C"/>
    <w:rsid w:val="00C31C4B"/>
    <w:rsid w:val="00C3200D"/>
    <w:rsid w:val="00C32014"/>
    <w:rsid w:val="00C32778"/>
    <w:rsid w:val="00C32FE9"/>
    <w:rsid w:val="00C33445"/>
    <w:rsid w:val="00C33493"/>
    <w:rsid w:val="00C33502"/>
    <w:rsid w:val="00C335D3"/>
    <w:rsid w:val="00C337D9"/>
    <w:rsid w:val="00C33ABD"/>
    <w:rsid w:val="00C33BE8"/>
    <w:rsid w:val="00C33C26"/>
    <w:rsid w:val="00C33EA3"/>
    <w:rsid w:val="00C340DC"/>
    <w:rsid w:val="00C341CD"/>
    <w:rsid w:val="00C3439B"/>
    <w:rsid w:val="00C343B7"/>
    <w:rsid w:val="00C346CE"/>
    <w:rsid w:val="00C3535B"/>
    <w:rsid w:val="00C35564"/>
    <w:rsid w:val="00C35653"/>
    <w:rsid w:val="00C35A01"/>
    <w:rsid w:val="00C35E65"/>
    <w:rsid w:val="00C35EF7"/>
    <w:rsid w:val="00C35F54"/>
    <w:rsid w:val="00C35FD2"/>
    <w:rsid w:val="00C36022"/>
    <w:rsid w:val="00C364DE"/>
    <w:rsid w:val="00C36780"/>
    <w:rsid w:val="00C368EB"/>
    <w:rsid w:val="00C369C0"/>
    <w:rsid w:val="00C36CF3"/>
    <w:rsid w:val="00C36DAB"/>
    <w:rsid w:val="00C36FAD"/>
    <w:rsid w:val="00C372AD"/>
    <w:rsid w:val="00C37531"/>
    <w:rsid w:val="00C375D1"/>
    <w:rsid w:val="00C37866"/>
    <w:rsid w:val="00C3794E"/>
    <w:rsid w:val="00C37FB7"/>
    <w:rsid w:val="00C40084"/>
    <w:rsid w:val="00C40125"/>
    <w:rsid w:val="00C40333"/>
    <w:rsid w:val="00C405A7"/>
    <w:rsid w:val="00C40601"/>
    <w:rsid w:val="00C40659"/>
    <w:rsid w:val="00C406B5"/>
    <w:rsid w:val="00C40909"/>
    <w:rsid w:val="00C40AF3"/>
    <w:rsid w:val="00C40F63"/>
    <w:rsid w:val="00C4122B"/>
    <w:rsid w:val="00C41405"/>
    <w:rsid w:val="00C419F9"/>
    <w:rsid w:val="00C41A80"/>
    <w:rsid w:val="00C41A92"/>
    <w:rsid w:val="00C41AD4"/>
    <w:rsid w:val="00C41BF8"/>
    <w:rsid w:val="00C41C97"/>
    <w:rsid w:val="00C41CB9"/>
    <w:rsid w:val="00C41E3C"/>
    <w:rsid w:val="00C4209F"/>
    <w:rsid w:val="00C421D9"/>
    <w:rsid w:val="00C42371"/>
    <w:rsid w:val="00C4246C"/>
    <w:rsid w:val="00C4249F"/>
    <w:rsid w:val="00C42964"/>
    <w:rsid w:val="00C429C7"/>
    <w:rsid w:val="00C42ABE"/>
    <w:rsid w:val="00C4355A"/>
    <w:rsid w:val="00C4360D"/>
    <w:rsid w:val="00C43761"/>
    <w:rsid w:val="00C4389E"/>
    <w:rsid w:val="00C4392B"/>
    <w:rsid w:val="00C43B24"/>
    <w:rsid w:val="00C43DB3"/>
    <w:rsid w:val="00C43E44"/>
    <w:rsid w:val="00C43E4A"/>
    <w:rsid w:val="00C43EE0"/>
    <w:rsid w:val="00C43F1F"/>
    <w:rsid w:val="00C43FBA"/>
    <w:rsid w:val="00C4412E"/>
    <w:rsid w:val="00C44222"/>
    <w:rsid w:val="00C4442A"/>
    <w:rsid w:val="00C44542"/>
    <w:rsid w:val="00C449F9"/>
    <w:rsid w:val="00C44A8B"/>
    <w:rsid w:val="00C44D43"/>
    <w:rsid w:val="00C44F18"/>
    <w:rsid w:val="00C44F20"/>
    <w:rsid w:val="00C450AB"/>
    <w:rsid w:val="00C451A6"/>
    <w:rsid w:val="00C455FD"/>
    <w:rsid w:val="00C456A9"/>
    <w:rsid w:val="00C456FD"/>
    <w:rsid w:val="00C45C2E"/>
    <w:rsid w:val="00C45E03"/>
    <w:rsid w:val="00C45E28"/>
    <w:rsid w:val="00C45EFA"/>
    <w:rsid w:val="00C4614A"/>
    <w:rsid w:val="00C462AB"/>
    <w:rsid w:val="00C46618"/>
    <w:rsid w:val="00C46726"/>
    <w:rsid w:val="00C46885"/>
    <w:rsid w:val="00C46A15"/>
    <w:rsid w:val="00C46EA4"/>
    <w:rsid w:val="00C46EB1"/>
    <w:rsid w:val="00C47300"/>
    <w:rsid w:val="00C47306"/>
    <w:rsid w:val="00C47401"/>
    <w:rsid w:val="00C475FA"/>
    <w:rsid w:val="00C476B0"/>
    <w:rsid w:val="00C4770F"/>
    <w:rsid w:val="00C47897"/>
    <w:rsid w:val="00C47942"/>
    <w:rsid w:val="00C47C4D"/>
    <w:rsid w:val="00C47CDD"/>
    <w:rsid w:val="00C47DCB"/>
    <w:rsid w:val="00C47EA8"/>
    <w:rsid w:val="00C47F22"/>
    <w:rsid w:val="00C47FB5"/>
    <w:rsid w:val="00C50145"/>
    <w:rsid w:val="00C502E0"/>
    <w:rsid w:val="00C50597"/>
    <w:rsid w:val="00C508E7"/>
    <w:rsid w:val="00C50B8B"/>
    <w:rsid w:val="00C50D76"/>
    <w:rsid w:val="00C50DF5"/>
    <w:rsid w:val="00C5117D"/>
    <w:rsid w:val="00C5124A"/>
    <w:rsid w:val="00C514D4"/>
    <w:rsid w:val="00C51729"/>
    <w:rsid w:val="00C518DF"/>
    <w:rsid w:val="00C5194E"/>
    <w:rsid w:val="00C51E09"/>
    <w:rsid w:val="00C51E89"/>
    <w:rsid w:val="00C51FA3"/>
    <w:rsid w:val="00C52046"/>
    <w:rsid w:val="00C522FC"/>
    <w:rsid w:val="00C525EE"/>
    <w:rsid w:val="00C527FB"/>
    <w:rsid w:val="00C5283E"/>
    <w:rsid w:val="00C52855"/>
    <w:rsid w:val="00C52BF3"/>
    <w:rsid w:val="00C52C84"/>
    <w:rsid w:val="00C52E39"/>
    <w:rsid w:val="00C53345"/>
    <w:rsid w:val="00C533B4"/>
    <w:rsid w:val="00C53970"/>
    <w:rsid w:val="00C539CF"/>
    <w:rsid w:val="00C53EC4"/>
    <w:rsid w:val="00C54001"/>
    <w:rsid w:val="00C540F6"/>
    <w:rsid w:val="00C5464A"/>
    <w:rsid w:val="00C546D5"/>
    <w:rsid w:val="00C54778"/>
    <w:rsid w:val="00C54994"/>
    <w:rsid w:val="00C549EB"/>
    <w:rsid w:val="00C54B17"/>
    <w:rsid w:val="00C54D2B"/>
    <w:rsid w:val="00C54F84"/>
    <w:rsid w:val="00C550B1"/>
    <w:rsid w:val="00C55307"/>
    <w:rsid w:val="00C55450"/>
    <w:rsid w:val="00C557A5"/>
    <w:rsid w:val="00C558E1"/>
    <w:rsid w:val="00C5598E"/>
    <w:rsid w:val="00C55A3A"/>
    <w:rsid w:val="00C55C08"/>
    <w:rsid w:val="00C55C33"/>
    <w:rsid w:val="00C55CA5"/>
    <w:rsid w:val="00C55D04"/>
    <w:rsid w:val="00C55FC0"/>
    <w:rsid w:val="00C56592"/>
    <w:rsid w:val="00C5674C"/>
    <w:rsid w:val="00C56794"/>
    <w:rsid w:val="00C56ADC"/>
    <w:rsid w:val="00C56E5E"/>
    <w:rsid w:val="00C56E73"/>
    <w:rsid w:val="00C56F44"/>
    <w:rsid w:val="00C5704A"/>
    <w:rsid w:val="00C57217"/>
    <w:rsid w:val="00C57441"/>
    <w:rsid w:val="00C575B3"/>
    <w:rsid w:val="00C5760E"/>
    <w:rsid w:val="00C577E8"/>
    <w:rsid w:val="00C57B57"/>
    <w:rsid w:val="00C57BD1"/>
    <w:rsid w:val="00C57F66"/>
    <w:rsid w:val="00C60122"/>
    <w:rsid w:val="00C60353"/>
    <w:rsid w:val="00C605B0"/>
    <w:rsid w:val="00C6061B"/>
    <w:rsid w:val="00C606AF"/>
    <w:rsid w:val="00C60749"/>
    <w:rsid w:val="00C60753"/>
    <w:rsid w:val="00C60866"/>
    <w:rsid w:val="00C608AF"/>
    <w:rsid w:val="00C6099D"/>
    <w:rsid w:val="00C60BC6"/>
    <w:rsid w:val="00C60E3D"/>
    <w:rsid w:val="00C60F2D"/>
    <w:rsid w:val="00C60F2F"/>
    <w:rsid w:val="00C60F75"/>
    <w:rsid w:val="00C61166"/>
    <w:rsid w:val="00C61508"/>
    <w:rsid w:val="00C6151D"/>
    <w:rsid w:val="00C616AA"/>
    <w:rsid w:val="00C61A24"/>
    <w:rsid w:val="00C61EAC"/>
    <w:rsid w:val="00C61EC8"/>
    <w:rsid w:val="00C620E3"/>
    <w:rsid w:val="00C620FA"/>
    <w:rsid w:val="00C62593"/>
    <w:rsid w:val="00C62787"/>
    <w:rsid w:val="00C632A0"/>
    <w:rsid w:val="00C63846"/>
    <w:rsid w:val="00C63953"/>
    <w:rsid w:val="00C639D1"/>
    <w:rsid w:val="00C63A6D"/>
    <w:rsid w:val="00C63AED"/>
    <w:rsid w:val="00C63B77"/>
    <w:rsid w:val="00C63B9D"/>
    <w:rsid w:val="00C63BAE"/>
    <w:rsid w:val="00C63DE8"/>
    <w:rsid w:val="00C63F09"/>
    <w:rsid w:val="00C64039"/>
    <w:rsid w:val="00C641C9"/>
    <w:rsid w:val="00C64296"/>
    <w:rsid w:val="00C64315"/>
    <w:rsid w:val="00C648AC"/>
    <w:rsid w:val="00C649AF"/>
    <w:rsid w:val="00C64A49"/>
    <w:rsid w:val="00C64AD3"/>
    <w:rsid w:val="00C64D2C"/>
    <w:rsid w:val="00C64DA8"/>
    <w:rsid w:val="00C64F7F"/>
    <w:rsid w:val="00C64FA7"/>
    <w:rsid w:val="00C64FBA"/>
    <w:rsid w:val="00C65038"/>
    <w:rsid w:val="00C650A2"/>
    <w:rsid w:val="00C651CC"/>
    <w:rsid w:val="00C651D2"/>
    <w:rsid w:val="00C65273"/>
    <w:rsid w:val="00C654DF"/>
    <w:rsid w:val="00C655BF"/>
    <w:rsid w:val="00C6579C"/>
    <w:rsid w:val="00C65959"/>
    <w:rsid w:val="00C65A2E"/>
    <w:rsid w:val="00C65E34"/>
    <w:rsid w:val="00C660A1"/>
    <w:rsid w:val="00C66238"/>
    <w:rsid w:val="00C66509"/>
    <w:rsid w:val="00C66603"/>
    <w:rsid w:val="00C6678E"/>
    <w:rsid w:val="00C66A04"/>
    <w:rsid w:val="00C66BD0"/>
    <w:rsid w:val="00C66C41"/>
    <w:rsid w:val="00C66E02"/>
    <w:rsid w:val="00C66FF5"/>
    <w:rsid w:val="00C670E4"/>
    <w:rsid w:val="00C67103"/>
    <w:rsid w:val="00C672C0"/>
    <w:rsid w:val="00C67459"/>
    <w:rsid w:val="00C67631"/>
    <w:rsid w:val="00C67B4A"/>
    <w:rsid w:val="00C67C02"/>
    <w:rsid w:val="00C67D31"/>
    <w:rsid w:val="00C67DD5"/>
    <w:rsid w:val="00C67E19"/>
    <w:rsid w:val="00C7006D"/>
    <w:rsid w:val="00C7009C"/>
    <w:rsid w:val="00C7015E"/>
    <w:rsid w:val="00C706E8"/>
    <w:rsid w:val="00C70865"/>
    <w:rsid w:val="00C7093B"/>
    <w:rsid w:val="00C70A72"/>
    <w:rsid w:val="00C70DAF"/>
    <w:rsid w:val="00C70DE8"/>
    <w:rsid w:val="00C70F6B"/>
    <w:rsid w:val="00C71128"/>
    <w:rsid w:val="00C71154"/>
    <w:rsid w:val="00C711D8"/>
    <w:rsid w:val="00C715B7"/>
    <w:rsid w:val="00C71855"/>
    <w:rsid w:val="00C7190D"/>
    <w:rsid w:val="00C71985"/>
    <w:rsid w:val="00C71F6F"/>
    <w:rsid w:val="00C71FC7"/>
    <w:rsid w:val="00C72116"/>
    <w:rsid w:val="00C722C1"/>
    <w:rsid w:val="00C72476"/>
    <w:rsid w:val="00C7272E"/>
    <w:rsid w:val="00C72793"/>
    <w:rsid w:val="00C7290D"/>
    <w:rsid w:val="00C729C8"/>
    <w:rsid w:val="00C72AE0"/>
    <w:rsid w:val="00C72AF2"/>
    <w:rsid w:val="00C72B8F"/>
    <w:rsid w:val="00C72FD9"/>
    <w:rsid w:val="00C73121"/>
    <w:rsid w:val="00C73381"/>
    <w:rsid w:val="00C736FC"/>
    <w:rsid w:val="00C7384E"/>
    <w:rsid w:val="00C73B29"/>
    <w:rsid w:val="00C73F8E"/>
    <w:rsid w:val="00C74461"/>
    <w:rsid w:val="00C74527"/>
    <w:rsid w:val="00C7454F"/>
    <w:rsid w:val="00C74968"/>
    <w:rsid w:val="00C74C49"/>
    <w:rsid w:val="00C74C5B"/>
    <w:rsid w:val="00C74CD8"/>
    <w:rsid w:val="00C74DDA"/>
    <w:rsid w:val="00C74E73"/>
    <w:rsid w:val="00C74EE2"/>
    <w:rsid w:val="00C75438"/>
    <w:rsid w:val="00C754D8"/>
    <w:rsid w:val="00C754E7"/>
    <w:rsid w:val="00C755B8"/>
    <w:rsid w:val="00C755BE"/>
    <w:rsid w:val="00C75979"/>
    <w:rsid w:val="00C75984"/>
    <w:rsid w:val="00C75A44"/>
    <w:rsid w:val="00C75AFD"/>
    <w:rsid w:val="00C75AFE"/>
    <w:rsid w:val="00C75B55"/>
    <w:rsid w:val="00C75B6D"/>
    <w:rsid w:val="00C75B8F"/>
    <w:rsid w:val="00C75E55"/>
    <w:rsid w:val="00C75FAD"/>
    <w:rsid w:val="00C76178"/>
    <w:rsid w:val="00C7622D"/>
    <w:rsid w:val="00C76367"/>
    <w:rsid w:val="00C7657F"/>
    <w:rsid w:val="00C766D9"/>
    <w:rsid w:val="00C76716"/>
    <w:rsid w:val="00C76961"/>
    <w:rsid w:val="00C76AAC"/>
    <w:rsid w:val="00C76CF4"/>
    <w:rsid w:val="00C77070"/>
    <w:rsid w:val="00C77084"/>
    <w:rsid w:val="00C7709C"/>
    <w:rsid w:val="00C77179"/>
    <w:rsid w:val="00C7737D"/>
    <w:rsid w:val="00C773A5"/>
    <w:rsid w:val="00C77466"/>
    <w:rsid w:val="00C777C5"/>
    <w:rsid w:val="00C77B27"/>
    <w:rsid w:val="00C77D69"/>
    <w:rsid w:val="00C77ECD"/>
    <w:rsid w:val="00C800A4"/>
    <w:rsid w:val="00C8014E"/>
    <w:rsid w:val="00C801E9"/>
    <w:rsid w:val="00C80578"/>
    <w:rsid w:val="00C8087D"/>
    <w:rsid w:val="00C80A6D"/>
    <w:rsid w:val="00C80A77"/>
    <w:rsid w:val="00C80B7E"/>
    <w:rsid w:val="00C80D6E"/>
    <w:rsid w:val="00C80FAA"/>
    <w:rsid w:val="00C81115"/>
    <w:rsid w:val="00C81387"/>
    <w:rsid w:val="00C814B7"/>
    <w:rsid w:val="00C8161E"/>
    <w:rsid w:val="00C81626"/>
    <w:rsid w:val="00C81649"/>
    <w:rsid w:val="00C81756"/>
    <w:rsid w:val="00C817DA"/>
    <w:rsid w:val="00C81893"/>
    <w:rsid w:val="00C81C62"/>
    <w:rsid w:val="00C81F63"/>
    <w:rsid w:val="00C8225B"/>
    <w:rsid w:val="00C8234B"/>
    <w:rsid w:val="00C829DC"/>
    <w:rsid w:val="00C82F68"/>
    <w:rsid w:val="00C831CE"/>
    <w:rsid w:val="00C834FD"/>
    <w:rsid w:val="00C83A49"/>
    <w:rsid w:val="00C83C3D"/>
    <w:rsid w:val="00C83E5A"/>
    <w:rsid w:val="00C83F4C"/>
    <w:rsid w:val="00C8405E"/>
    <w:rsid w:val="00C8486A"/>
    <w:rsid w:val="00C84938"/>
    <w:rsid w:val="00C84A3B"/>
    <w:rsid w:val="00C84ADA"/>
    <w:rsid w:val="00C84B67"/>
    <w:rsid w:val="00C84DED"/>
    <w:rsid w:val="00C84EFF"/>
    <w:rsid w:val="00C8513B"/>
    <w:rsid w:val="00C85140"/>
    <w:rsid w:val="00C853D4"/>
    <w:rsid w:val="00C855D4"/>
    <w:rsid w:val="00C85673"/>
    <w:rsid w:val="00C8578D"/>
    <w:rsid w:val="00C859C5"/>
    <w:rsid w:val="00C85E08"/>
    <w:rsid w:val="00C86125"/>
    <w:rsid w:val="00C86178"/>
    <w:rsid w:val="00C8666E"/>
    <w:rsid w:val="00C86905"/>
    <w:rsid w:val="00C86955"/>
    <w:rsid w:val="00C86E91"/>
    <w:rsid w:val="00C873B1"/>
    <w:rsid w:val="00C87498"/>
    <w:rsid w:val="00C8749B"/>
    <w:rsid w:val="00C87591"/>
    <w:rsid w:val="00C875D6"/>
    <w:rsid w:val="00C87694"/>
    <w:rsid w:val="00C879E4"/>
    <w:rsid w:val="00C87BBD"/>
    <w:rsid w:val="00C87CA0"/>
    <w:rsid w:val="00C90072"/>
    <w:rsid w:val="00C90162"/>
    <w:rsid w:val="00C9018A"/>
    <w:rsid w:val="00C902AE"/>
    <w:rsid w:val="00C903C6"/>
    <w:rsid w:val="00C903C7"/>
    <w:rsid w:val="00C9068D"/>
    <w:rsid w:val="00C90938"/>
    <w:rsid w:val="00C90BBF"/>
    <w:rsid w:val="00C90D9F"/>
    <w:rsid w:val="00C90DC1"/>
    <w:rsid w:val="00C90DD2"/>
    <w:rsid w:val="00C90E85"/>
    <w:rsid w:val="00C90F95"/>
    <w:rsid w:val="00C9101C"/>
    <w:rsid w:val="00C91113"/>
    <w:rsid w:val="00C91244"/>
    <w:rsid w:val="00C912CB"/>
    <w:rsid w:val="00C91329"/>
    <w:rsid w:val="00C9133E"/>
    <w:rsid w:val="00C913AE"/>
    <w:rsid w:val="00C913FF"/>
    <w:rsid w:val="00C91502"/>
    <w:rsid w:val="00C91595"/>
    <w:rsid w:val="00C915E2"/>
    <w:rsid w:val="00C91B6C"/>
    <w:rsid w:val="00C91BD4"/>
    <w:rsid w:val="00C91FD0"/>
    <w:rsid w:val="00C92039"/>
    <w:rsid w:val="00C920EF"/>
    <w:rsid w:val="00C9212F"/>
    <w:rsid w:val="00C92216"/>
    <w:rsid w:val="00C9225B"/>
    <w:rsid w:val="00C9233C"/>
    <w:rsid w:val="00C92414"/>
    <w:rsid w:val="00C92428"/>
    <w:rsid w:val="00C9268D"/>
    <w:rsid w:val="00C926E7"/>
    <w:rsid w:val="00C9297D"/>
    <w:rsid w:val="00C92D26"/>
    <w:rsid w:val="00C92DD7"/>
    <w:rsid w:val="00C92DF9"/>
    <w:rsid w:val="00C931D1"/>
    <w:rsid w:val="00C9327B"/>
    <w:rsid w:val="00C933DD"/>
    <w:rsid w:val="00C934F7"/>
    <w:rsid w:val="00C93613"/>
    <w:rsid w:val="00C93640"/>
    <w:rsid w:val="00C93670"/>
    <w:rsid w:val="00C936D3"/>
    <w:rsid w:val="00C938FB"/>
    <w:rsid w:val="00C93CC9"/>
    <w:rsid w:val="00C93F1E"/>
    <w:rsid w:val="00C93F9A"/>
    <w:rsid w:val="00C94075"/>
    <w:rsid w:val="00C940E9"/>
    <w:rsid w:val="00C9412A"/>
    <w:rsid w:val="00C9417F"/>
    <w:rsid w:val="00C947A0"/>
    <w:rsid w:val="00C94991"/>
    <w:rsid w:val="00C94A9C"/>
    <w:rsid w:val="00C94B01"/>
    <w:rsid w:val="00C94B66"/>
    <w:rsid w:val="00C94E3D"/>
    <w:rsid w:val="00C94E54"/>
    <w:rsid w:val="00C94F2C"/>
    <w:rsid w:val="00C950B1"/>
    <w:rsid w:val="00C950C2"/>
    <w:rsid w:val="00C952E9"/>
    <w:rsid w:val="00C95405"/>
    <w:rsid w:val="00C9572C"/>
    <w:rsid w:val="00C9574F"/>
    <w:rsid w:val="00C95861"/>
    <w:rsid w:val="00C95CCD"/>
    <w:rsid w:val="00C95D0F"/>
    <w:rsid w:val="00C95D91"/>
    <w:rsid w:val="00C95F91"/>
    <w:rsid w:val="00C96049"/>
    <w:rsid w:val="00C961F2"/>
    <w:rsid w:val="00C96256"/>
    <w:rsid w:val="00C9654B"/>
    <w:rsid w:val="00C967B0"/>
    <w:rsid w:val="00C96A5A"/>
    <w:rsid w:val="00C96C52"/>
    <w:rsid w:val="00C96E5E"/>
    <w:rsid w:val="00C96F40"/>
    <w:rsid w:val="00C970E6"/>
    <w:rsid w:val="00C971B9"/>
    <w:rsid w:val="00C9726F"/>
    <w:rsid w:val="00C97302"/>
    <w:rsid w:val="00C9747E"/>
    <w:rsid w:val="00C975E4"/>
    <w:rsid w:val="00C97693"/>
    <w:rsid w:val="00C977F7"/>
    <w:rsid w:val="00C978E2"/>
    <w:rsid w:val="00C9793C"/>
    <w:rsid w:val="00C97975"/>
    <w:rsid w:val="00C97A21"/>
    <w:rsid w:val="00CA005B"/>
    <w:rsid w:val="00CA00EB"/>
    <w:rsid w:val="00CA01C3"/>
    <w:rsid w:val="00CA02AA"/>
    <w:rsid w:val="00CA0469"/>
    <w:rsid w:val="00CA054C"/>
    <w:rsid w:val="00CA0722"/>
    <w:rsid w:val="00CA0864"/>
    <w:rsid w:val="00CA087A"/>
    <w:rsid w:val="00CA09CD"/>
    <w:rsid w:val="00CA0B24"/>
    <w:rsid w:val="00CA0B8E"/>
    <w:rsid w:val="00CA0CD3"/>
    <w:rsid w:val="00CA0D93"/>
    <w:rsid w:val="00CA0E76"/>
    <w:rsid w:val="00CA0EAD"/>
    <w:rsid w:val="00CA0ED5"/>
    <w:rsid w:val="00CA10C0"/>
    <w:rsid w:val="00CA136C"/>
    <w:rsid w:val="00CA192A"/>
    <w:rsid w:val="00CA1A16"/>
    <w:rsid w:val="00CA1A92"/>
    <w:rsid w:val="00CA1B31"/>
    <w:rsid w:val="00CA1D01"/>
    <w:rsid w:val="00CA2532"/>
    <w:rsid w:val="00CA2638"/>
    <w:rsid w:val="00CA2642"/>
    <w:rsid w:val="00CA2C8B"/>
    <w:rsid w:val="00CA2FD8"/>
    <w:rsid w:val="00CA3000"/>
    <w:rsid w:val="00CA3120"/>
    <w:rsid w:val="00CA319E"/>
    <w:rsid w:val="00CA350B"/>
    <w:rsid w:val="00CA3737"/>
    <w:rsid w:val="00CA3B1F"/>
    <w:rsid w:val="00CA4504"/>
    <w:rsid w:val="00CA45B5"/>
    <w:rsid w:val="00CA489B"/>
    <w:rsid w:val="00CA4904"/>
    <w:rsid w:val="00CA4A5D"/>
    <w:rsid w:val="00CA4D53"/>
    <w:rsid w:val="00CA4D62"/>
    <w:rsid w:val="00CA4E50"/>
    <w:rsid w:val="00CA514D"/>
    <w:rsid w:val="00CA59A6"/>
    <w:rsid w:val="00CA5BCF"/>
    <w:rsid w:val="00CA5D2D"/>
    <w:rsid w:val="00CA5F47"/>
    <w:rsid w:val="00CA63F1"/>
    <w:rsid w:val="00CA645C"/>
    <w:rsid w:val="00CA647E"/>
    <w:rsid w:val="00CA64A7"/>
    <w:rsid w:val="00CA65E8"/>
    <w:rsid w:val="00CA668D"/>
    <w:rsid w:val="00CA68EC"/>
    <w:rsid w:val="00CA6925"/>
    <w:rsid w:val="00CA6C3B"/>
    <w:rsid w:val="00CA70CE"/>
    <w:rsid w:val="00CA7105"/>
    <w:rsid w:val="00CA7296"/>
    <w:rsid w:val="00CA76A3"/>
    <w:rsid w:val="00CA7872"/>
    <w:rsid w:val="00CA7C20"/>
    <w:rsid w:val="00CA7CBB"/>
    <w:rsid w:val="00CA7D62"/>
    <w:rsid w:val="00CB037A"/>
    <w:rsid w:val="00CB0550"/>
    <w:rsid w:val="00CB0912"/>
    <w:rsid w:val="00CB099E"/>
    <w:rsid w:val="00CB0B91"/>
    <w:rsid w:val="00CB0C5E"/>
    <w:rsid w:val="00CB1026"/>
    <w:rsid w:val="00CB10AD"/>
    <w:rsid w:val="00CB11C0"/>
    <w:rsid w:val="00CB12DA"/>
    <w:rsid w:val="00CB16F9"/>
    <w:rsid w:val="00CB17A9"/>
    <w:rsid w:val="00CB1855"/>
    <w:rsid w:val="00CB18C4"/>
    <w:rsid w:val="00CB19DC"/>
    <w:rsid w:val="00CB1AF5"/>
    <w:rsid w:val="00CB1B80"/>
    <w:rsid w:val="00CB1D24"/>
    <w:rsid w:val="00CB1FCB"/>
    <w:rsid w:val="00CB2052"/>
    <w:rsid w:val="00CB205F"/>
    <w:rsid w:val="00CB20F9"/>
    <w:rsid w:val="00CB20FA"/>
    <w:rsid w:val="00CB2198"/>
    <w:rsid w:val="00CB22CD"/>
    <w:rsid w:val="00CB2364"/>
    <w:rsid w:val="00CB2460"/>
    <w:rsid w:val="00CB2475"/>
    <w:rsid w:val="00CB2483"/>
    <w:rsid w:val="00CB267C"/>
    <w:rsid w:val="00CB27C4"/>
    <w:rsid w:val="00CB2856"/>
    <w:rsid w:val="00CB29B1"/>
    <w:rsid w:val="00CB2B42"/>
    <w:rsid w:val="00CB2E5A"/>
    <w:rsid w:val="00CB316F"/>
    <w:rsid w:val="00CB351E"/>
    <w:rsid w:val="00CB3738"/>
    <w:rsid w:val="00CB379A"/>
    <w:rsid w:val="00CB3896"/>
    <w:rsid w:val="00CB38F0"/>
    <w:rsid w:val="00CB3A88"/>
    <w:rsid w:val="00CB3ACE"/>
    <w:rsid w:val="00CB3B0C"/>
    <w:rsid w:val="00CB3C1C"/>
    <w:rsid w:val="00CB3CE0"/>
    <w:rsid w:val="00CB3E77"/>
    <w:rsid w:val="00CB3FD6"/>
    <w:rsid w:val="00CB4018"/>
    <w:rsid w:val="00CB420C"/>
    <w:rsid w:val="00CB42D2"/>
    <w:rsid w:val="00CB4462"/>
    <w:rsid w:val="00CB4ABC"/>
    <w:rsid w:val="00CB4B24"/>
    <w:rsid w:val="00CB4C81"/>
    <w:rsid w:val="00CB4FBF"/>
    <w:rsid w:val="00CB4FFA"/>
    <w:rsid w:val="00CB5097"/>
    <w:rsid w:val="00CB54CC"/>
    <w:rsid w:val="00CB57A5"/>
    <w:rsid w:val="00CB58EE"/>
    <w:rsid w:val="00CB5E34"/>
    <w:rsid w:val="00CB5F04"/>
    <w:rsid w:val="00CB689D"/>
    <w:rsid w:val="00CB68BE"/>
    <w:rsid w:val="00CB6A9B"/>
    <w:rsid w:val="00CB6C12"/>
    <w:rsid w:val="00CB6EF6"/>
    <w:rsid w:val="00CB6F3B"/>
    <w:rsid w:val="00CB7062"/>
    <w:rsid w:val="00CB7191"/>
    <w:rsid w:val="00CB7224"/>
    <w:rsid w:val="00CB725D"/>
    <w:rsid w:val="00CB7414"/>
    <w:rsid w:val="00CB7737"/>
    <w:rsid w:val="00CB798C"/>
    <w:rsid w:val="00CB7A61"/>
    <w:rsid w:val="00CB7B3E"/>
    <w:rsid w:val="00CB7DF4"/>
    <w:rsid w:val="00CB7E51"/>
    <w:rsid w:val="00CB7E59"/>
    <w:rsid w:val="00CB7F42"/>
    <w:rsid w:val="00CC00F0"/>
    <w:rsid w:val="00CC0139"/>
    <w:rsid w:val="00CC023E"/>
    <w:rsid w:val="00CC0442"/>
    <w:rsid w:val="00CC0544"/>
    <w:rsid w:val="00CC056E"/>
    <w:rsid w:val="00CC05EE"/>
    <w:rsid w:val="00CC0688"/>
    <w:rsid w:val="00CC0899"/>
    <w:rsid w:val="00CC0A12"/>
    <w:rsid w:val="00CC0BDD"/>
    <w:rsid w:val="00CC0C2F"/>
    <w:rsid w:val="00CC0CDC"/>
    <w:rsid w:val="00CC14A3"/>
    <w:rsid w:val="00CC1514"/>
    <w:rsid w:val="00CC15AD"/>
    <w:rsid w:val="00CC1766"/>
    <w:rsid w:val="00CC1843"/>
    <w:rsid w:val="00CC1A3E"/>
    <w:rsid w:val="00CC1BD0"/>
    <w:rsid w:val="00CC1BF8"/>
    <w:rsid w:val="00CC1C60"/>
    <w:rsid w:val="00CC1F88"/>
    <w:rsid w:val="00CC1FD5"/>
    <w:rsid w:val="00CC20A9"/>
    <w:rsid w:val="00CC21B1"/>
    <w:rsid w:val="00CC21F0"/>
    <w:rsid w:val="00CC2236"/>
    <w:rsid w:val="00CC22BA"/>
    <w:rsid w:val="00CC22D0"/>
    <w:rsid w:val="00CC23A9"/>
    <w:rsid w:val="00CC263E"/>
    <w:rsid w:val="00CC279B"/>
    <w:rsid w:val="00CC2887"/>
    <w:rsid w:val="00CC2A0D"/>
    <w:rsid w:val="00CC2ADC"/>
    <w:rsid w:val="00CC2FD4"/>
    <w:rsid w:val="00CC3001"/>
    <w:rsid w:val="00CC315B"/>
    <w:rsid w:val="00CC3480"/>
    <w:rsid w:val="00CC36EF"/>
    <w:rsid w:val="00CC3995"/>
    <w:rsid w:val="00CC39E6"/>
    <w:rsid w:val="00CC3A8E"/>
    <w:rsid w:val="00CC3DE7"/>
    <w:rsid w:val="00CC3DFE"/>
    <w:rsid w:val="00CC3E35"/>
    <w:rsid w:val="00CC3F1B"/>
    <w:rsid w:val="00CC40D9"/>
    <w:rsid w:val="00CC41CE"/>
    <w:rsid w:val="00CC4526"/>
    <w:rsid w:val="00CC47C8"/>
    <w:rsid w:val="00CC4824"/>
    <w:rsid w:val="00CC4BCC"/>
    <w:rsid w:val="00CC4C9F"/>
    <w:rsid w:val="00CC4D21"/>
    <w:rsid w:val="00CC4D8D"/>
    <w:rsid w:val="00CC4EE4"/>
    <w:rsid w:val="00CC50B9"/>
    <w:rsid w:val="00CC52F6"/>
    <w:rsid w:val="00CC5507"/>
    <w:rsid w:val="00CC5972"/>
    <w:rsid w:val="00CC5973"/>
    <w:rsid w:val="00CC5BEB"/>
    <w:rsid w:val="00CC5DC7"/>
    <w:rsid w:val="00CC5ECD"/>
    <w:rsid w:val="00CC5F10"/>
    <w:rsid w:val="00CC63D6"/>
    <w:rsid w:val="00CC65AF"/>
    <w:rsid w:val="00CC6678"/>
    <w:rsid w:val="00CC68AF"/>
    <w:rsid w:val="00CC6C60"/>
    <w:rsid w:val="00CC6CBD"/>
    <w:rsid w:val="00CC6DE7"/>
    <w:rsid w:val="00CC6DE8"/>
    <w:rsid w:val="00CC6FDB"/>
    <w:rsid w:val="00CC7103"/>
    <w:rsid w:val="00CC718B"/>
    <w:rsid w:val="00CC720E"/>
    <w:rsid w:val="00CC72DA"/>
    <w:rsid w:val="00CC732B"/>
    <w:rsid w:val="00CC7664"/>
    <w:rsid w:val="00CC77D2"/>
    <w:rsid w:val="00CC784A"/>
    <w:rsid w:val="00CC7B2F"/>
    <w:rsid w:val="00CC7BB7"/>
    <w:rsid w:val="00CC7C64"/>
    <w:rsid w:val="00CC7DE4"/>
    <w:rsid w:val="00CC7F30"/>
    <w:rsid w:val="00CC7F33"/>
    <w:rsid w:val="00CD04B5"/>
    <w:rsid w:val="00CD075F"/>
    <w:rsid w:val="00CD0B96"/>
    <w:rsid w:val="00CD0BD1"/>
    <w:rsid w:val="00CD0BD9"/>
    <w:rsid w:val="00CD0C12"/>
    <w:rsid w:val="00CD0FA5"/>
    <w:rsid w:val="00CD0FE4"/>
    <w:rsid w:val="00CD1150"/>
    <w:rsid w:val="00CD1164"/>
    <w:rsid w:val="00CD125C"/>
    <w:rsid w:val="00CD13DE"/>
    <w:rsid w:val="00CD1489"/>
    <w:rsid w:val="00CD1522"/>
    <w:rsid w:val="00CD157C"/>
    <w:rsid w:val="00CD1673"/>
    <w:rsid w:val="00CD18EC"/>
    <w:rsid w:val="00CD1EA7"/>
    <w:rsid w:val="00CD2164"/>
    <w:rsid w:val="00CD21C2"/>
    <w:rsid w:val="00CD23F0"/>
    <w:rsid w:val="00CD263C"/>
    <w:rsid w:val="00CD27A2"/>
    <w:rsid w:val="00CD2B43"/>
    <w:rsid w:val="00CD2D69"/>
    <w:rsid w:val="00CD3296"/>
    <w:rsid w:val="00CD3322"/>
    <w:rsid w:val="00CD34DB"/>
    <w:rsid w:val="00CD377C"/>
    <w:rsid w:val="00CD3861"/>
    <w:rsid w:val="00CD3A54"/>
    <w:rsid w:val="00CD3C61"/>
    <w:rsid w:val="00CD3D18"/>
    <w:rsid w:val="00CD402D"/>
    <w:rsid w:val="00CD40FE"/>
    <w:rsid w:val="00CD457E"/>
    <w:rsid w:val="00CD4863"/>
    <w:rsid w:val="00CD48CE"/>
    <w:rsid w:val="00CD4C54"/>
    <w:rsid w:val="00CD4FEA"/>
    <w:rsid w:val="00CD518A"/>
    <w:rsid w:val="00CD528B"/>
    <w:rsid w:val="00CD5644"/>
    <w:rsid w:val="00CD567A"/>
    <w:rsid w:val="00CD5993"/>
    <w:rsid w:val="00CD5A92"/>
    <w:rsid w:val="00CD5ABB"/>
    <w:rsid w:val="00CD5C3A"/>
    <w:rsid w:val="00CD5E44"/>
    <w:rsid w:val="00CD60CA"/>
    <w:rsid w:val="00CD63C6"/>
    <w:rsid w:val="00CD6575"/>
    <w:rsid w:val="00CD65B0"/>
    <w:rsid w:val="00CD65F7"/>
    <w:rsid w:val="00CD6741"/>
    <w:rsid w:val="00CD6890"/>
    <w:rsid w:val="00CD6999"/>
    <w:rsid w:val="00CD6A56"/>
    <w:rsid w:val="00CD6CB8"/>
    <w:rsid w:val="00CD6CD8"/>
    <w:rsid w:val="00CD71AB"/>
    <w:rsid w:val="00CD7376"/>
    <w:rsid w:val="00CD7593"/>
    <w:rsid w:val="00CD75ED"/>
    <w:rsid w:val="00CD7BD4"/>
    <w:rsid w:val="00CD7C76"/>
    <w:rsid w:val="00CD7CA2"/>
    <w:rsid w:val="00CD7F15"/>
    <w:rsid w:val="00CE0106"/>
    <w:rsid w:val="00CE016A"/>
    <w:rsid w:val="00CE019C"/>
    <w:rsid w:val="00CE0203"/>
    <w:rsid w:val="00CE0207"/>
    <w:rsid w:val="00CE02E8"/>
    <w:rsid w:val="00CE052A"/>
    <w:rsid w:val="00CE0536"/>
    <w:rsid w:val="00CE06B6"/>
    <w:rsid w:val="00CE0FD8"/>
    <w:rsid w:val="00CE1112"/>
    <w:rsid w:val="00CE12CA"/>
    <w:rsid w:val="00CE1533"/>
    <w:rsid w:val="00CE1773"/>
    <w:rsid w:val="00CE19AC"/>
    <w:rsid w:val="00CE1A52"/>
    <w:rsid w:val="00CE1DE0"/>
    <w:rsid w:val="00CE1E31"/>
    <w:rsid w:val="00CE1FD3"/>
    <w:rsid w:val="00CE20B3"/>
    <w:rsid w:val="00CE2182"/>
    <w:rsid w:val="00CE24FD"/>
    <w:rsid w:val="00CE2583"/>
    <w:rsid w:val="00CE27A7"/>
    <w:rsid w:val="00CE2933"/>
    <w:rsid w:val="00CE3133"/>
    <w:rsid w:val="00CE32BF"/>
    <w:rsid w:val="00CE3705"/>
    <w:rsid w:val="00CE3C44"/>
    <w:rsid w:val="00CE3C9A"/>
    <w:rsid w:val="00CE3D05"/>
    <w:rsid w:val="00CE3EB0"/>
    <w:rsid w:val="00CE3ECD"/>
    <w:rsid w:val="00CE3ED6"/>
    <w:rsid w:val="00CE3F0D"/>
    <w:rsid w:val="00CE3F4A"/>
    <w:rsid w:val="00CE3F90"/>
    <w:rsid w:val="00CE3FAE"/>
    <w:rsid w:val="00CE3FB2"/>
    <w:rsid w:val="00CE4000"/>
    <w:rsid w:val="00CE40BC"/>
    <w:rsid w:val="00CE40F3"/>
    <w:rsid w:val="00CE4177"/>
    <w:rsid w:val="00CE4269"/>
    <w:rsid w:val="00CE434D"/>
    <w:rsid w:val="00CE43A9"/>
    <w:rsid w:val="00CE45FE"/>
    <w:rsid w:val="00CE477A"/>
    <w:rsid w:val="00CE4878"/>
    <w:rsid w:val="00CE49B4"/>
    <w:rsid w:val="00CE4A02"/>
    <w:rsid w:val="00CE4CEC"/>
    <w:rsid w:val="00CE5291"/>
    <w:rsid w:val="00CE5405"/>
    <w:rsid w:val="00CE55DE"/>
    <w:rsid w:val="00CE56AD"/>
    <w:rsid w:val="00CE57B9"/>
    <w:rsid w:val="00CE5846"/>
    <w:rsid w:val="00CE590A"/>
    <w:rsid w:val="00CE5B24"/>
    <w:rsid w:val="00CE5B8B"/>
    <w:rsid w:val="00CE5BA7"/>
    <w:rsid w:val="00CE5DCA"/>
    <w:rsid w:val="00CE5E42"/>
    <w:rsid w:val="00CE5F37"/>
    <w:rsid w:val="00CE6411"/>
    <w:rsid w:val="00CE661E"/>
    <w:rsid w:val="00CE6980"/>
    <w:rsid w:val="00CE6B9E"/>
    <w:rsid w:val="00CE6D95"/>
    <w:rsid w:val="00CE6FD4"/>
    <w:rsid w:val="00CE74A1"/>
    <w:rsid w:val="00CE74AB"/>
    <w:rsid w:val="00CE758B"/>
    <w:rsid w:val="00CE7637"/>
    <w:rsid w:val="00CE7715"/>
    <w:rsid w:val="00CE77E1"/>
    <w:rsid w:val="00CE7B1E"/>
    <w:rsid w:val="00CE7D4A"/>
    <w:rsid w:val="00CE7F08"/>
    <w:rsid w:val="00CEDEF5"/>
    <w:rsid w:val="00CF028A"/>
    <w:rsid w:val="00CF029F"/>
    <w:rsid w:val="00CF05BD"/>
    <w:rsid w:val="00CF090F"/>
    <w:rsid w:val="00CF0EEE"/>
    <w:rsid w:val="00CF0FFB"/>
    <w:rsid w:val="00CF105B"/>
    <w:rsid w:val="00CF10FC"/>
    <w:rsid w:val="00CF1482"/>
    <w:rsid w:val="00CF17E7"/>
    <w:rsid w:val="00CF1D87"/>
    <w:rsid w:val="00CF1E90"/>
    <w:rsid w:val="00CF1F2B"/>
    <w:rsid w:val="00CF1F41"/>
    <w:rsid w:val="00CF23CC"/>
    <w:rsid w:val="00CF2507"/>
    <w:rsid w:val="00CF25BC"/>
    <w:rsid w:val="00CF26CD"/>
    <w:rsid w:val="00CF2760"/>
    <w:rsid w:val="00CF2A71"/>
    <w:rsid w:val="00CF2DE4"/>
    <w:rsid w:val="00CF2E06"/>
    <w:rsid w:val="00CF3063"/>
    <w:rsid w:val="00CF30B7"/>
    <w:rsid w:val="00CF32E4"/>
    <w:rsid w:val="00CF3343"/>
    <w:rsid w:val="00CF33A9"/>
    <w:rsid w:val="00CF367F"/>
    <w:rsid w:val="00CF36A7"/>
    <w:rsid w:val="00CF36C7"/>
    <w:rsid w:val="00CF37B0"/>
    <w:rsid w:val="00CF39E6"/>
    <w:rsid w:val="00CF3AB1"/>
    <w:rsid w:val="00CF3C4B"/>
    <w:rsid w:val="00CF3C7D"/>
    <w:rsid w:val="00CF3DBB"/>
    <w:rsid w:val="00CF3FB2"/>
    <w:rsid w:val="00CF402E"/>
    <w:rsid w:val="00CF4074"/>
    <w:rsid w:val="00CF43CD"/>
    <w:rsid w:val="00CF43EA"/>
    <w:rsid w:val="00CF4625"/>
    <w:rsid w:val="00CF467A"/>
    <w:rsid w:val="00CF46AF"/>
    <w:rsid w:val="00CF46BA"/>
    <w:rsid w:val="00CF478F"/>
    <w:rsid w:val="00CF4979"/>
    <w:rsid w:val="00CF4C24"/>
    <w:rsid w:val="00CF4CDD"/>
    <w:rsid w:val="00CF4D1E"/>
    <w:rsid w:val="00CF4DBA"/>
    <w:rsid w:val="00CF562A"/>
    <w:rsid w:val="00CF570A"/>
    <w:rsid w:val="00CF594B"/>
    <w:rsid w:val="00CF5E2C"/>
    <w:rsid w:val="00CF671E"/>
    <w:rsid w:val="00CF67AD"/>
    <w:rsid w:val="00CF67BF"/>
    <w:rsid w:val="00CF6D29"/>
    <w:rsid w:val="00CF6F91"/>
    <w:rsid w:val="00CF6FFE"/>
    <w:rsid w:val="00CF70C3"/>
    <w:rsid w:val="00CF71AD"/>
    <w:rsid w:val="00CF7672"/>
    <w:rsid w:val="00CF76B2"/>
    <w:rsid w:val="00CF7865"/>
    <w:rsid w:val="00CF7A39"/>
    <w:rsid w:val="00CF7A9A"/>
    <w:rsid w:val="00CF7BC3"/>
    <w:rsid w:val="00CF7E0A"/>
    <w:rsid w:val="00CF7EE7"/>
    <w:rsid w:val="00D00268"/>
    <w:rsid w:val="00D003F3"/>
    <w:rsid w:val="00D00775"/>
    <w:rsid w:val="00D00880"/>
    <w:rsid w:val="00D00918"/>
    <w:rsid w:val="00D00C74"/>
    <w:rsid w:val="00D00DFF"/>
    <w:rsid w:val="00D00FDD"/>
    <w:rsid w:val="00D0115E"/>
    <w:rsid w:val="00D01239"/>
    <w:rsid w:val="00D01372"/>
    <w:rsid w:val="00D01865"/>
    <w:rsid w:val="00D018B8"/>
    <w:rsid w:val="00D01B08"/>
    <w:rsid w:val="00D01B73"/>
    <w:rsid w:val="00D0219E"/>
    <w:rsid w:val="00D022C9"/>
    <w:rsid w:val="00D023B9"/>
    <w:rsid w:val="00D0269B"/>
    <w:rsid w:val="00D0273E"/>
    <w:rsid w:val="00D0285C"/>
    <w:rsid w:val="00D029B5"/>
    <w:rsid w:val="00D02B42"/>
    <w:rsid w:val="00D02B52"/>
    <w:rsid w:val="00D02D6E"/>
    <w:rsid w:val="00D02DD9"/>
    <w:rsid w:val="00D02E14"/>
    <w:rsid w:val="00D03251"/>
    <w:rsid w:val="00D03343"/>
    <w:rsid w:val="00D033FB"/>
    <w:rsid w:val="00D0340C"/>
    <w:rsid w:val="00D0345E"/>
    <w:rsid w:val="00D03767"/>
    <w:rsid w:val="00D039D3"/>
    <w:rsid w:val="00D03C93"/>
    <w:rsid w:val="00D03D98"/>
    <w:rsid w:val="00D03ECF"/>
    <w:rsid w:val="00D03F43"/>
    <w:rsid w:val="00D03F8F"/>
    <w:rsid w:val="00D046F7"/>
    <w:rsid w:val="00D04718"/>
    <w:rsid w:val="00D04A53"/>
    <w:rsid w:val="00D04BC5"/>
    <w:rsid w:val="00D04C73"/>
    <w:rsid w:val="00D04CF4"/>
    <w:rsid w:val="00D04E72"/>
    <w:rsid w:val="00D04E7C"/>
    <w:rsid w:val="00D050F0"/>
    <w:rsid w:val="00D052F2"/>
    <w:rsid w:val="00D053D3"/>
    <w:rsid w:val="00D05469"/>
    <w:rsid w:val="00D0550C"/>
    <w:rsid w:val="00D056A4"/>
    <w:rsid w:val="00D0572F"/>
    <w:rsid w:val="00D0598F"/>
    <w:rsid w:val="00D05A64"/>
    <w:rsid w:val="00D05A72"/>
    <w:rsid w:val="00D05A8E"/>
    <w:rsid w:val="00D05B1A"/>
    <w:rsid w:val="00D05D6A"/>
    <w:rsid w:val="00D05F63"/>
    <w:rsid w:val="00D062AB"/>
    <w:rsid w:val="00D062E3"/>
    <w:rsid w:val="00D06310"/>
    <w:rsid w:val="00D06399"/>
    <w:rsid w:val="00D067D4"/>
    <w:rsid w:val="00D06A6E"/>
    <w:rsid w:val="00D06FAE"/>
    <w:rsid w:val="00D06FE7"/>
    <w:rsid w:val="00D071B7"/>
    <w:rsid w:val="00D07200"/>
    <w:rsid w:val="00D0742E"/>
    <w:rsid w:val="00D0771E"/>
    <w:rsid w:val="00D077E4"/>
    <w:rsid w:val="00D07885"/>
    <w:rsid w:val="00D07A9B"/>
    <w:rsid w:val="00D07CC5"/>
    <w:rsid w:val="00D07F9C"/>
    <w:rsid w:val="00D10527"/>
    <w:rsid w:val="00D105A7"/>
    <w:rsid w:val="00D10641"/>
    <w:rsid w:val="00D10DF7"/>
    <w:rsid w:val="00D11311"/>
    <w:rsid w:val="00D1136D"/>
    <w:rsid w:val="00D113D7"/>
    <w:rsid w:val="00D1158F"/>
    <w:rsid w:val="00D11813"/>
    <w:rsid w:val="00D11953"/>
    <w:rsid w:val="00D11B0F"/>
    <w:rsid w:val="00D11B7D"/>
    <w:rsid w:val="00D11CC3"/>
    <w:rsid w:val="00D11DAB"/>
    <w:rsid w:val="00D11DF5"/>
    <w:rsid w:val="00D121D6"/>
    <w:rsid w:val="00D125AB"/>
    <w:rsid w:val="00D1268C"/>
    <w:rsid w:val="00D126D8"/>
    <w:rsid w:val="00D12749"/>
    <w:rsid w:val="00D127A0"/>
    <w:rsid w:val="00D12882"/>
    <w:rsid w:val="00D129F6"/>
    <w:rsid w:val="00D12A99"/>
    <w:rsid w:val="00D12E15"/>
    <w:rsid w:val="00D12E58"/>
    <w:rsid w:val="00D12F22"/>
    <w:rsid w:val="00D12F5E"/>
    <w:rsid w:val="00D13139"/>
    <w:rsid w:val="00D1324D"/>
    <w:rsid w:val="00D133BD"/>
    <w:rsid w:val="00D134C3"/>
    <w:rsid w:val="00D135BB"/>
    <w:rsid w:val="00D136E3"/>
    <w:rsid w:val="00D13A03"/>
    <w:rsid w:val="00D13A9D"/>
    <w:rsid w:val="00D13C54"/>
    <w:rsid w:val="00D13CF4"/>
    <w:rsid w:val="00D13DBD"/>
    <w:rsid w:val="00D13E65"/>
    <w:rsid w:val="00D13E7D"/>
    <w:rsid w:val="00D13E7F"/>
    <w:rsid w:val="00D1436F"/>
    <w:rsid w:val="00D1446F"/>
    <w:rsid w:val="00D147E6"/>
    <w:rsid w:val="00D14896"/>
    <w:rsid w:val="00D14B72"/>
    <w:rsid w:val="00D14F6B"/>
    <w:rsid w:val="00D1500B"/>
    <w:rsid w:val="00D1514F"/>
    <w:rsid w:val="00D15166"/>
    <w:rsid w:val="00D159B2"/>
    <w:rsid w:val="00D15A2E"/>
    <w:rsid w:val="00D15B8D"/>
    <w:rsid w:val="00D15D41"/>
    <w:rsid w:val="00D15F21"/>
    <w:rsid w:val="00D1604B"/>
    <w:rsid w:val="00D16221"/>
    <w:rsid w:val="00D16251"/>
    <w:rsid w:val="00D16346"/>
    <w:rsid w:val="00D165A6"/>
    <w:rsid w:val="00D1690B"/>
    <w:rsid w:val="00D169E3"/>
    <w:rsid w:val="00D16C7E"/>
    <w:rsid w:val="00D16E62"/>
    <w:rsid w:val="00D16FB1"/>
    <w:rsid w:val="00D16FCD"/>
    <w:rsid w:val="00D170ED"/>
    <w:rsid w:val="00D1742D"/>
    <w:rsid w:val="00D174A8"/>
    <w:rsid w:val="00D175CD"/>
    <w:rsid w:val="00D1781B"/>
    <w:rsid w:val="00D1785A"/>
    <w:rsid w:val="00D17994"/>
    <w:rsid w:val="00D200D0"/>
    <w:rsid w:val="00D20198"/>
    <w:rsid w:val="00D206A6"/>
    <w:rsid w:val="00D20754"/>
    <w:rsid w:val="00D20B42"/>
    <w:rsid w:val="00D20BFD"/>
    <w:rsid w:val="00D21518"/>
    <w:rsid w:val="00D2174A"/>
    <w:rsid w:val="00D21761"/>
    <w:rsid w:val="00D21DFE"/>
    <w:rsid w:val="00D22081"/>
    <w:rsid w:val="00D2210C"/>
    <w:rsid w:val="00D221D1"/>
    <w:rsid w:val="00D22205"/>
    <w:rsid w:val="00D2260A"/>
    <w:rsid w:val="00D22722"/>
    <w:rsid w:val="00D22736"/>
    <w:rsid w:val="00D22AD8"/>
    <w:rsid w:val="00D22BD9"/>
    <w:rsid w:val="00D23717"/>
    <w:rsid w:val="00D23756"/>
    <w:rsid w:val="00D23787"/>
    <w:rsid w:val="00D23812"/>
    <w:rsid w:val="00D23B62"/>
    <w:rsid w:val="00D23B65"/>
    <w:rsid w:val="00D24076"/>
    <w:rsid w:val="00D24722"/>
    <w:rsid w:val="00D24846"/>
    <w:rsid w:val="00D24970"/>
    <w:rsid w:val="00D24988"/>
    <w:rsid w:val="00D2498F"/>
    <w:rsid w:val="00D24C56"/>
    <w:rsid w:val="00D24EA1"/>
    <w:rsid w:val="00D2504F"/>
    <w:rsid w:val="00D25641"/>
    <w:rsid w:val="00D258CC"/>
    <w:rsid w:val="00D25A44"/>
    <w:rsid w:val="00D25F9E"/>
    <w:rsid w:val="00D26061"/>
    <w:rsid w:val="00D260F4"/>
    <w:rsid w:val="00D261C6"/>
    <w:rsid w:val="00D264B2"/>
    <w:rsid w:val="00D2659A"/>
    <w:rsid w:val="00D266DD"/>
    <w:rsid w:val="00D26747"/>
    <w:rsid w:val="00D26AB5"/>
    <w:rsid w:val="00D26D50"/>
    <w:rsid w:val="00D26DB0"/>
    <w:rsid w:val="00D26F32"/>
    <w:rsid w:val="00D27048"/>
    <w:rsid w:val="00D27076"/>
    <w:rsid w:val="00D27183"/>
    <w:rsid w:val="00D271A2"/>
    <w:rsid w:val="00D27250"/>
    <w:rsid w:val="00D272EB"/>
    <w:rsid w:val="00D275B5"/>
    <w:rsid w:val="00D276CB"/>
    <w:rsid w:val="00D278AB"/>
    <w:rsid w:val="00D27928"/>
    <w:rsid w:val="00D27A25"/>
    <w:rsid w:val="00D27C1E"/>
    <w:rsid w:val="00D3009D"/>
    <w:rsid w:val="00D30107"/>
    <w:rsid w:val="00D3046E"/>
    <w:rsid w:val="00D30920"/>
    <w:rsid w:val="00D309B4"/>
    <w:rsid w:val="00D30C44"/>
    <w:rsid w:val="00D30EB5"/>
    <w:rsid w:val="00D30ED9"/>
    <w:rsid w:val="00D30FA1"/>
    <w:rsid w:val="00D311AB"/>
    <w:rsid w:val="00D3126C"/>
    <w:rsid w:val="00D314CE"/>
    <w:rsid w:val="00D315A5"/>
    <w:rsid w:val="00D316C3"/>
    <w:rsid w:val="00D3191A"/>
    <w:rsid w:val="00D31D03"/>
    <w:rsid w:val="00D3208E"/>
    <w:rsid w:val="00D32313"/>
    <w:rsid w:val="00D32322"/>
    <w:rsid w:val="00D3246A"/>
    <w:rsid w:val="00D32605"/>
    <w:rsid w:val="00D32828"/>
    <w:rsid w:val="00D32DAA"/>
    <w:rsid w:val="00D32E1D"/>
    <w:rsid w:val="00D33058"/>
    <w:rsid w:val="00D33134"/>
    <w:rsid w:val="00D33236"/>
    <w:rsid w:val="00D33258"/>
    <w:rsid w:val="00D33663"/>
    <w:rsid w:val="00D33775"/>
    <w:rsid w:val="00D33A5F"/>
    <w:rsid w:val="00D33E82"/>
    <w:rsid w:val="00D341ED"/>
    <w:rsid w:val="00D342B3"/>
    <w:rsid w:val="00D343B7"/>
    <w:rsid w:val="00D34403"/>
    <w:rsid w:val="00D34410"/>
    <w:rsid w:val="00D346F0"/>
    <w:rsid w:val="00D3479C"/>
    <w:rsid w:val="00D34BF0"/>
    <w:rsid w:val="00D34D5F"/>
    <w:rsid w:val="00D34E1C"/>
    <w:rsid w:val="00D34EB9"/>
    <w:rsid w:val="00D35020"/>
    <w:rsid w:val="00D3505D"/>
    <w:rsid w:val="00D355DE"/>
    <w:rsid w:val="00D359FF"/>
    <w:rsid w:val="00D35A7C"/>
    <w:rsid w:val="00D35C7D"/>
    <w:rsid w:val="00D36204"/>
    <w:rsid w:val="00D3670A"/>
    <w:rsid w:val="00D367E6"/>
    <w:rsid w:val="00D36881"/>
    <w:rsid w:val="00D36A3C"/>
    <w:rsid w:val="00D36F21"/>
    <w:rsid w:val="00D3714F"/>
    <w:rsid w:val="00D37174"/>
    <w:rsid w:val="00D373E5"/>
    <w:rsid w:val="00D37B02"/>
    <w:rsid w:val="00D37C35"/>
    <w:rsid w:val="00D37FD3"/>
    <w:rsid w:val="00D40205"/>
    <w:rsid w:val="00D4049F"/>
    <w:rsid w:val="00D405ED"/>
    <w:rsid w:val="00D40997"/>
    <w:rsid w:val="00D40A98"/>
    <w:rsid w:val="00D40B92"/>
    <w:rsid w:val="00D40C94"/>
    <w:rsid w:val="00D40E97"/>
    <w:rsid w:val="00D40F21"/>
    <w:rsid w:val="00D41001"/>
    <w:rsid w:val="00D41027"/>
    <w:rsid w:val="00D4112C"/>
    <w:rsid w:val="00D41241"/>
    <w:rsid w:val="00D41299"/>
    <w:rsid w:val="00D41463"/>
    <w:rsid w:val="00D41522"/>
    <w:rsid w:val="00D4152D"/>
    <w:rsid w:val="00D41556"/>
    <w:rsid w:val="00D415AF"/>
    <w:rsid w:val="00D41631"/>
    <w:rsid w:val="00D41788"/>
    <w:rsid w:val="00D417A3"/>
    <w:rsid w:val="00D4197A"/>
    <w:rsid w:val="00D41C68"/>
    <w:rsid w:val="00D41DD9"/>
    <w:rsid w:val="00D41DFA"/>
    <w:rsid w:val="00D41E8B"/>
    <w:rsid w:val="00D42194"/>
    <w:rsid w:val="00D421FC"/>
    <w:rsid w:val="00D4239F"/>
    <w:rsid w:val="00D424E3"/>
    <w:rsid w:val="00D4268A"/>
    <w:rsid w:val="00D4295F"/>
    <w:rsid w:val="00D42BD5"/>
    <w:rsid w:val="00D42BD7"/>
    <w:rsid w:val="00D42CEF"/>
    <w:rsid w:val="00D42F2E"/>
    <w:rsid w:val="00D43113"/>
    <w:rsid w:val="00D43274"/>
    <w:rsid w:val="00D433F9"/>
    <w:rsid w:val="00D435A0"/>
    <w:rsid w:val="00D43667"/>
    <w:rsid w:val="00D43734"/>
    <w:rsid w:val="00D43981"/>
    <w:rsid w:val="00D43AB9"/>
    <w:rsid w:val="00D43C6A"/>
    <w:rsid w:val="00D44571"/>
    <w:rsid w:val="00D44620"/>
    <w:rsid w:val="00D4467E"/>
    <w:rsid w:val="00D446AE"/>
    <w:rsid w:val="00D44906"/>
    <w:rsid w:val="00D449AC"/>
    <w:rsid w:val="00D44B3A"/>
    <w:rsid w:val="00D44E04"/>
    <w:rsid w:val="00D4526D"/>
    <w:rsid w:val="00D452B2"/>
    <w:rsid w:val="00D4532A"/>
    <w:rsid w:val="00D453DB"/>
    <w:rsid w:val="00D4544C"/>
    <w:rsid w:val="00D454C9"/>
    <w:rsid w:val="00D455C5"/>
    <w:rsid w:val="00D45703"/>
    <w:rsid w:val="00D4573A"/>
    <w:rsid w:val="00D4577A"/>
    <w:rsid w:val="00D45B81"/>
    <w:rsid w:val="00D45D08"/>
    <w:rsid w:val="00D45DD9"/>
    <w:rsid w:val="00D45F38"/>
    <w:rsid w:val="00D45F85"/>
    <w:rsid w:val="00D4682D"/>
    <w:rsid w:val="00D469DB"/>
    <w:rsid w:val="00D46B4B"/>
    <w:rsid w:val="00D46D9D"/>
    <w:rsid w:val="00D46E78"/>
    <w:rsid w:val="00D46ED2"/>
    <w:rsid w:val="00D46FCF"/>
    <w:rsid w:val="00D47025"/>
    <w:rsid w:val="00D47038"/>
    <w:rsid w:val="00D470AE"/>
    <w:rsid w:val="00D471C6"/>
    <w:rsid w:val="00D47240"/>
    <w:rsid w:val="00D47357"/>
    <w:rsid w:val="00D4739E"/>
    <w:rsid w:val="00D473E3"/>
    <w:rsid w:val="00D47617"/>
    <w:rsid w:val="00D476CC"/>
    <w:rsid w:val="00D477D1"/>
    <w:rsid w:val="00D47907"/>
    <w:rsid w:val="00D47ABB"/>
    <w:rsid w:val="00D5000A"/>
    <w:rsid w:val="00D50119"/>
    <w:rsid w:val="00D504B6"/>
    <w:rsid w:val="00D5062A"/>
    <w:rsid w:val="00D50847"/>
    <w:rsid w:val="00D50A6D"/>
    <w:rsid w:val="00D50B80"/>
    <w:rsid w:val="00D511A1"/>
    <w:rsid w:val="00D51213"/>
    <w:rsid w:val="00D51308"/>
    <w:rsid w:val="00D513B3"/>
    <w:rsid w:val="00D513B9"/>
    <w:rsid w:val="00D5141D"/>
    <w:rsid w:val="00D5142C"/>
    <w:rsid w:val="00D51516"/>
    <w:rsid w:val="00D515E9"/>
    <w:rsid w:val="00D517AA"/>
    <w:rsid w:val="00D5190E"/>
    <w:rsid w:val="00D519D1"/>
    <w:rsid w:val="00D51A1D"/>
    <w:rsid w:val="00D51A23"/>
    <w:rsid w:val="00D51BFC"/>
    <w:rsid w:val="00D51D35"/>
    <w:rsid w:val="00D51EA2"/>
    <w:rsid w:val="00D51FBB"/>
    <w:rsid w:val="00D52292"/>
    <w:rsid w:val="00D5281A"/>
    <w:rsid w:val="00D52992"/>
    <w:rsid w:val="00D52D14"/>
    <w:rsid w:val="00D52F36"/>
    <w:rsid w:val="00D52F9A"/>
    <w:rsid w:val="00D53131"/>
    <w:rsid w:val="00D532A7"/>
    <w:rsid w:val="00D532C4"/>
    <w:rsid w:val="00D532EB"/>
    <w:rsid w:val="00D536E0"/>
    <w:rsid w:val="00D539FC"/>
    <w:rsid w:val="00D53B5C"/>
    <w:rsid w:val="00D5411A"/>
    <w:rsid w:val="00D5418F"/>
    <w:rsid w:val="00D541CE"/>
    <w:rsid w:val="00D54605"/>
    <w:rsid w:val="00D54727"/>
    <w:rsid w:val="00D54801"/>
    <w:rsid w:val="00D54984"/>
    <w:rsid w:val="00D54B66"/>
    <w:rsid w:val="00D54BD8"/>
    <w:rsid w:val="00D54C0E"/>
    <w:rsid w:val="00D54C48"/>
    <w:rsid w:val="00D54EBC"/>
    <w:rsid w:val="00D55298"/>
    <w:rsid w:val="00D55346"/>
    <w:rsid w:val="00D554BE"/>
    <w:rsid w:val="00D5563D"/>
    <w:rsid w:val="00D55791"/>
    <w:rsid w:val="00D561DD"/>
    <w:rsid w:val="00D561E8"/>
    <w:rsid w:val="00D562B7"/>
    <w:rsid w:val="00D56338"/>
    <w:rsid w:val="00D564A0"/>
    <w:rsid w:val="00D5655E"/>
    <w:rsid w:val="00D56582"/>
    <w:rsid w:val="00D56759"/>
    <w:rsid w:val="00D5687D"/>
    <w:rsid w:val="00D56E8B"/>
    <w:rsid w:val="00D56E8E"/>
    <w:rsid w:val="00D56EEA"/>
    <w:rsid w:val="00D5713C"/>
    <w:rsid w:val="00D57355"/>
    <w:rsid w:val="00D57569"/>
    <w:rsid w:val="00D575A3"/>
    <w:rsid w:val="00D5761A"/>
    <w:rsid w:val="00D576BD"/>
    <w:rsid w:val="00D57920"/>
    <w:rsid w:val="00D57949"/>
    <w:rsid w:val="00D57A2C"/>
    <w:rsid w:val="00D57BAC"/>
    <w:rsid w:val="00D602E3"/>
    <w:rsid w:val="00D6039D"/>
    <w:rsid w:val="00D60547"/>
    <w:rsid w:val="00D60F7E"/>
    <w:rsid w:val="00D612BE"/>
    <w:rsid w:val="00D61497"/>
    <w:rsid w:val="00D614E4"/>
    <w:rsid w:val="00D6155F"/>
    <w:rsid w:val="00D61789"/>
    <w:rsid w:val="00D61797"/>
    <w:rsid w:val="00D61971"/>
    <w:rsid w:val="00D61A24"/>
    <w:rsid w:val="00D61AD5"/>
    <w:rsid w:val="00D61C63"/>
    <w:rsid w:val="00D61DE9"/>
    <w:rsid w:val="00D61E25"/>
    <w:rsid w:val="00D61E6C"/>
    <w:rsid w:val="00D62444"/>
    <w:rsid w:val="00D626CD"/>
    <w:rsid w:val="00D62744"/>
    <w:rsid w:val="00D62768"/>
    <w:rsid w:val="00D6279C"/>
    <w:rsid w:val="00D627D9"/>
    <w:rsid w:val="00D62E6B"/>
    <w:rsid w:val="00D62FD5"/>
    <w:rsid w:val="00D63378"/>
    <w:rsid w:val="00D6338D"/>
    <w:rsid w:val="00D637FF"/>
    <w:rsid w:val="00D63824"/>
    <w:rsid w:val="00D63B49"/>
    <w:rsid w:val="00D63B9D"/>
    <w:rsid w:val="00D63D5D"/>
    <w:rsid w:val="00D63F44"/>
    <w:rsid w:val="00D63F4C"/>
    <w:rsid w:val="00D64352"/>
    <w:rsid w:val="00D64431"/>
    <w:rsid w:val="00D644CC"/>
    <w:rsid w:val="00D6453C"/>
    <w:rsid w:val="00D646D5"/>
    <w:rsid w:val="00D646F3"/>
    <w:rsid w:val="00D648F2"/>
    <w:rsid w:val="00D64911"/>
    <w:rsid w:val="00D64970"/>
    <w:rsid w:val="00D64D2C"/>
    <w:rsid w:val="00D64E7C"/>
    <w:rsid w:val="00D6515F"/>
    <w:rsid w:val="00D65221"/>
    <w:rsid w:val="00D652AF"/>
    <w:rsid w:val="00D657BB"/>
    <w:rsid w:val="00D6580B"/>
    <w:rsid w:val="00D65869"/>
    <w:rsid w:val="00D658D0"/>
    <w:rsid w:val="00D65A81"/>
    <w:rsid w:val="00D65C75"/>
    <w:rsid w:val="00D65D18"/>
    <w:rsid w:val="00D65DD6"/>
    <w:rsid w:val="00D65E0E"/>
    <w:rsid w:val="00D666BD"/>
    <w:rsid w:val="00D66771"/>
    <w:rsid w:val="00D667C1"/>
    <w:rsid w:val="00D66815"/>
    <w:rsid w:val="00D6684E"/>
    <w:rsid w:val="00D66997"/>
    <w:rsid w:val="00D66E81"/>
    <w:rsid w:val="00D6717B"/>
    <w:rsid w:val="00D6721F"/>
    <w:rsid w:val="00D67625"/>
    <w:rsid w:val="00D67792"/>
    <w:rsid w:val="00D67882"/>
    <w:rsid w:val="00D67918"/>
    <w:rsid w:val="00D6795C"/>
    <w:rsid w:val="00D67B02"/>
    <w:rsid w:val="00D67CD1"/>
    <w:rsid w:val="00D7002A"/>
    <w:rsid w:val="00D70110"/>
    <w:rsid w:val="00D70377"/>
    <w:rsid w:val="00D703FC"/>
    <w:rsid w:val="00D70479"/>
    <w:rsid w:val="00D70562"/>
    <w:rsid w:val="00D7071C"/>
    <w:rsid w:val="00D70A31"/>
    <w:rsid w:val="00D70C16"/>
    <w:rsid w:val="00D70D0B"/>
    <w:rsid w:val="00D70D74"/>
    <w:rsid w:val="00D7119C"/>
    <w:rsid w:val="00D713AD"/>
    <w:rsid w:val="00D7151C"/>
    <w:rsid w:val="00D71852"/>
    <w:rsid w:val="00D71A49"/>
    <w:rsid w:val="00D71B55"/>
    <w:rsid w:val="00D71BA3"/>
    <w:rsid w:val="00D71C30"/>
    <w:rsid w:val="00D71E73"/>
    <w:rsid w:val="00D72499"/>
    <w:rsid w:val="00D724D1"/>
    <w:rsid w:val="00D72896"/>
    <w:rsid w:val="00D728DD"/>
    <w:rsid w:val="00D72A6A"/>
    <w:rsid w:val="00D72AB0"/>
    <w:rsid w:val="00D72AB7"/>
    <w:rsid w:val="00D72C9E"/>
    <w:rsid w:val="00D72E6C"/>
    <w:rsid w:val="00D72F47"/>
    <w:rsid w:val="00D72F4B"/>
    <w:rsid w:val="00D73027"/>
    <w:rsid w:val="00D73039"/>
    <w:rsid w:val="00D730E3"/>
    <w:rsid w:val="00D73138"/>
    <w:rsid w:val="00D735C6"/>
    <w:rsid w:val="00D73A56"/>
    <w:rsid w:val="00D73A88"/>
    <w:rsid w:val="00D73AD9"/>
    <w:rsid w:val="00D73B75"/>
    <w:rsid w:val="00D73E3A"/>
    <w:rsid w:val="00D73E88"/>
    <w:rsid w:val="00D7425C"/>
    <w:rsid w:val="00D743B6"/>
    <w:rsid w:val="00D74812"/>
    <w:rsid w:val="00D74B6A"/>
    <w:rsid w:val="00D74BE0"/>
    <w:rsid w:val="00D74FA8"/>
    <w:rsid w:val="00D7508B"/>
    <w:rsid w:val="00D75196"/>
    <w:rsid w:val="00D75374"/>
    <w:rsid w:val="00D75784"/>
    <w:rsid w:val="00D757AE"/>
    <w:rsid w:val="00D75864"/>
    <w:rsid w:val="00D75A81"/>
    <w:rsid w:val="00D75F35"/>
    <w:rsid w:val="00D760CA"/>
    <w:rsid w:val="00D760E7"/>
    <w:rsid w:val="00D76141"/>
    <w:rsid w:val="00D761BB"/>
    <w:rsid w:val="00D76207"/>
    <w:rsid w:val="00D76209"/>
    <w:rsid w:val="00D7624B"/>
    <w:rsid w:val="00D7629B"/>
    <w:rsid w:val="00D763A6"/>
    <w:rsid w:val="00D763BE"/>
    <w:rsid w:val="00D765F9"/>
    <w:rsid w:val="00D76833"/>
    <w:rsid w:val="00D76A30"/>
    <w:rsid w:val="00D76A66"/>
    <w:rsid w:val="00D76A92"/>
    <w:rsid w:val="00D76BF7"/>
    <w:rsid w:val="00D76D77"/>
    <w:rsid w:val="00D76EE5"/>
    <w:rsid w:val="00D77086"/>
    <w:rsid w:val="00D77165"/>
    <w:rsid w:val="00D77207"/>
    <w:rsid w:val="00D77466"/>
    <w:rsid w:val="00D77743"/>
    <w:rsid w:val="00D77A5A"/>
    <w:rsid w:val="00D77DA6"/>
    <w:rsid w:val="00D77E64"/>
    <w:rsid w:val="00D80041"/>
    <w:rsid w:val="00D800BA"/>
    <w:rsid w:val="00D80153"/>
    <w:rsid w:val="00D802C9"/>
    <w:rsid w:val="00D806B9"/>
    <w:rsid w:val="00D807E9"/>
    <w:rsid w:val="00D808D6"/>
    <w:rsid w:val="00D80A1F"/>
    <w:rsid w:val="00D80B19"/>
    <w:rsid w:val="00D80C6C"/>
    <w:rsid w:val="00D80D22"/>
    <w:rsid w:val="00D810CF"/>
    <w:rsid w:val="00D8131F"/>
    <w:rsid w:val="00D8146B"/>
    <w:rsid w:val="00D814CE"/>
    <w:rsid w:val="00D81705"/>
    <w:rsid w:val="00D81AA1"/>
    <w:rsid w:val="00D81CC1"/>
    <w:rsid w:val="00D821D3"/>
    <w:rsid w:val="00D822F7"/>
    <w:rsid w:val="00D823D4"/>
    <w:rsid w:val="00D825F8"/>
    <w:rsid w:val="00D826E4"/>
    <w:rsid w:val="00D8282C"/>
    <w:rsid w:val="00D828ED"/>
    <w:rsid w:val="00D828FA"/>
    <w:rsid w:val="00D82A79"/>
    <w:rsid w:val="00D82CD7"/>
    <w:rsid w:val="00D82FE6"/>
    <w:rsid w:val="00D831A6"/>
    <w:rsid w:val="00D83219"/>
    <w:rsid w:val="00D834AD"/>
    <w:rsid w:val="00D83623"/>
    <w:rsid w:val="00D8376A"/>
    <w:rsid w:val="00D83896"/>
    <w:rsid w:val="00D83AF3"/>
    <w:rsid w:val="00D83BED"/>
    <w:rsid w:val="00D83C81"/>
    <w:rsid w:val="00D83F0D"/>
    <w:rsid w:val="00D83F4D"/>
    <w:rsid w:val="00D8422A"/>
    <w:rsid w:val="00D8432B"/>
    <w:rsid w:val="00D84534"/>
    <w:rsid w:val="00D84548"/>
    <w:rsid w:val="00D846AE"/>
    <w:rsid w:val="00D84979"/>
    <w:rsid w:val="00D84A02"/>
    <w:rsid w:val="00D84C82"/>
    <w:rsid w:val="00D84D0B"/>
    <w:rsid w:val="00D84D87"/>
    <w:rsid w:val="00D8542F"/>
    <w:rsid w:val="00D85627"/>
    <w:rsid w:val="00D85784"/>
    <w:rsid w:val="00D857EF"/>
    <w:rsid w:val="00D85837"/>
    <w:rsid w:val="00D85A4F"/>
    <w:rsid w:val="00D85AF5"/>
    <w:rsid w:val="00D85E08"/>
    <w:rsid w:val="00D8623B"/>
    <w:rsid w:val="00D869BA"/>
    <w:rsid w:val="00D86C1B"/>
    <w:rsid w:val="00D86C69"/>
    <w:rsid w:val="00D86CD4"/>
    <w:rsid w:val="00D86D83"/>
    <w:rsid w:val="00D86D87"/>
    <w:rsid w:val="00D86F26"/>
    <w:rsid w:val="00D87015"/>
    <w:rsid w:val="00D870E3"/>
    <w:rsid w:val="00D8721E"/>
    <w:rsid w:val="00D87317"/>
    <w:rsid w:val="00D87350"/>
    <w:rsid w:val="00D87394"/>
    <w:rsid w:val="00D87469"/>
    <w:rsid w:val="00D877D4"/>
    <w:rsid w:val="00D878C5"/>
    <w:rsid w:val="00D87C34"/>
    <w:rsid w:val="00D87E71"/>
    <w:rsid w:val="00D87EB6"/>
    <w:rsid w:val="00D8E074"/>
    <w:rsid w:val="00D9002B"/>
    <w:rsid w:val="00D901FC"/>
    <w:rsid w:val="00D90650"/>
    <w:rsid w:val="00D90767"/>
    <w:rsid w:val="00D90C8F"/>
    <w:rsid w:val="00D91232"/>
    <w:rsid w:val="00D912AB"/>
    <w:rsid w:val="00D9170A"/>
    <w:rsid w:val="00D919BF"/>
    <w:rsid w:val="00D91B51"/>
    <w:rsid w:val="00D91B55"/>
    <w:rsid w:val="00D91CD8"/>
    <w:rsid w:val="00D91F61"/>
    <w:rsid w:val="00D924FB"/>
    <w:rsid w:val="00D92896"/>
    <w:rsid w:val="00D92A17"/>
    <w:rsid w:val="00D92C61"/>
    <w:rsid w:val="00D92C99"/>
    <w:rsid w:val="00D92DC3"/>
    <w:rsid w:val="00D92E90"/>
    <w:rsid w:val="00D92F65"/>
    <w:rsid w:val="00D92FA4"/>
    <w:rsid w:val="00D9312E"/>
    <w:rsid w:val="00D936D9"/>
    <w:rsid w:val="00D93777"/>
    <w:rsid w:val="00D9378D"/>
    <w:rsid w:val="00D937E0"/>
    <w:rsid w:val="00D938DF"/>
    <w:rsid w:val="00D9395F"/>
    <w:rsid w:val="00D93C0A"/>
    <w:rsid w:val="00D93E18"/>
    <w:rsid w:val="00D94061"/>
    <w:rsid w:val="00D940CA"/>
    <w:rsid w:val="00D941DE"/>
    <w:rsid w:val="00D9439F"/>
    <w:rsid w:val="00D94448"/>
    <w:rsid w:val="00D9456D"/>
    <w:rsid w:val="00D94D3E"/>
    <w:rsid w:val="00D94D6F"/>
    <w:rsid w:val="00D95154"/>
    <w:rsid w:val="00D95215"/>
    <w:rsid w:val="00D95250"/>
    <w:rsid w:val="00D95487"/>
    <w:rsid w:val="00D95506"/>
    <w:rsid w:val="00D95794"/>
    <w:rsid w:val="00D95A87"/>
    <w:rsid w:val="00D95C67"/>
    <w:rsid w:val="00D95E01"/>
    <w:rsid w:val="00D96023"/>
    <w:rsid w:val="00D9675F"/>
    <w:rsid w:val="00D96789"/>
    <w:rsid w:val="00D967F8"/>
    <w:rsid w:val="00D96ADC"/>
    <w:rsid w:val="00D96C16"/>
    <w:rsid w:val="00D96D73"/>
    <w:rsid w:val="00D96FC6"/>
    <w:rsid w:val="00D974D2"/>
    <w:rsid w:val="00D97A2B"/>
    <w:rsid w:val="00D97AC1"/>
    <w:rsid w:val="00D97B99"/>
    <w:rsid w:val="00D97ED9"/>
    <w:rsid w:val="00DA0047"/>
    <w:rsid w:val="00DA0131"/>
    <w:rsid w:val="00DA024B"/>
    <w:rsid w:val="00DA03F6"/>
    <w:rsid w:val="00DA05C7"/>
    <w:rsid w:val="00DA06BF"/>
    <w:rsid w:val="00DA071E"/>
    <w:rsid w:val="00DA0B65"/>
    <w:rsid w:val="00DA0F0E"/>
    <w:rsid w:val="00DA0F11"/>
    <w:rsid w:val="00DA0F46"/>
    <w:rsid w:val="00DA12C7"/>
    <w:rsid w:val="00DA1382"/>
    <w:rsid w:val="00DA1430"/>
    <w:rsid w:val="00DA1522"/>
    <w:rsid w:val="00DA16AD"/>
    <w:rsid w:val="00DA16D3"/>
    <w:rsid w:val="00DA1C1F"/>
    <w:rsid w:val="00DA1FEA"/>
    <w:rsid w:val="00DA2400"/>
    <w:rsid w:val="00DA244B"/>
    <w:rsid w:val="00DA2452"/>
    <w:rsid w:val="00DA2535"/>
    <w:rsid w:val="00DA2682"/>
    <w:rsid w:val="00DA27D1"/>
    <w:rsid w:val="00DA2B40"/>
    <w:rsid w:val="00DA2C09"/>
    <w:rsid w:val="00DA2F73"/>
    <w:rsid w:val="00DA2FD9"/>
    <w:rsid w:val="00DA322E"/>
    <w:rsid w:val="00DA3302"/>
    <w:rsid w:val="00DA3363"/>
    <w:rsid w:val="00DA33AD"/>
    <w:rsid w:val="00DA3412"/>
    <w:rsid w:val="00DA3431"/>
    <w:rsid w:val="00DA3439"/>
    <w:rsid w:val="00DA343E"/>
    <w:rsid w:val="00DA35D1"/>
    <w:rsid w:val="00DA3B5A"/>
    <w:rsid w:val="00DA3F06"/>
    <w:rsid w:val="00DA4145"/>
    <w:rsid w:val="00DA41B5"/>
    <w:rsid w:val="00DA4550"/>
    <w:rsid w:val="00DA4694"/>
    <w:rsid w:val="00DA4835"/>
    <w:rsid w:val="00DA49D5"/>
    <w:rsid w:val="00DA49E6"/>
    <w:rsid w:val="00DA4A32"/>
    <w:rsid w:val="00DA5407"/>
    <w:rsid w:val="00DA56A2"/>
    <w:rsid w:val="00DA57A4"/>
    <w:rsid w:val="00DA5A9D"/>
    <w:rsid w:val="00DA5BDE"/>
    <w:rsid w:val="00DA5C1A"/>
    <w:rsid w:val="00DA5DA2"/>
    <w:rsid w:val="00DA605A"/>
    <w:rsid w:val="00DA62EA"/>
    <w:rsid w:val="00DA643A"/>
    <w:rsid w:val="00DA6481"/>
    <w:rsid w:val="00DA6573"/>
    <w:rsid w:val="00DA68EC"/>
    <w:rsid w:val="00DA6910"/>
    <w:rsid w:val="00DA6C0D"/>
    <w:rsid w:val="00DA6C74"/>
    <w:rsid w:val="00DA6D28"/>
    <w:rsid w:val="00DA6DA2"/>
    <w:rsid w:val="00DA6E3D"/>
    <w:rsid w:val="00DA7028"/>
    <w:rsid w:val="00DA7229"/>
    <w:rsid w:val="00DA7268"/>
    <w:rsid w:val="00DA7939"/>
    <w:rsid w:val="00DA7987"/>
    <w:rsid w:val="00DA7AFB"/>
    <w:rsid w:val="00DA7EA3"/>
    <w:rsid w:val="00DB04F9"/>
    <w:rsid w:val="00DB0631"/>
    <w:rsid w:val="00DB0683"/>
    <w:rsid w:val="00DB0771"/>
    <w:rsid w:val="00DB0962"/>
    <w:rsid w:val="00DB0D04"/>
    <w:rsid w:val="00DB0E95"/>
    <w:rsid w:val="00DB0F51"/>
    <w:rsid w:val="00DB0FDD"/>
    <w:rsid w:val="00DB11A1"/>
    <w:rsid w:val="00DB12B9"/>
    <w:rsid w:val="00DB13DB"/>
    <w:rsid w:val="00DB1946"/>
    <w:rsid w:val="00DB19B5"/>
    <w:rsid w:val="00DB1B4B"/>
    <w:rsid w:val="00DB1C0F"/>
    <w:rsid w:val="00DB1C4A"/>
    <w:rsid w:val="00DB1D6A"/>
    <w:rsid w:val="00DB1E23"/>
    <w:rsid w:val="00DB2204"/>
    <w:rsid w:val="00DB250A"/>
    <w:rsid w:val="00DB2641"/>
    <w:rsid w:val="00DB27AD"/>
    <w:rsid w:val="00DB27C6"/>
    <w:rsid w:val="00DB28A9"/>
    <w:rsid w:val="00DB2AC2"/>
    <w:rsid w:val="00DB2B46"/>
    <w:rsid w:val="00DB2BA2"/>
    <w:rsid w:val="00DB2D8C"/>
    <w:rsid w:val="00DB2DD8"/>
    <w:rsid w:val="00DB2E18"/>
    <w:rsid w:val="00DB2E26"/>
    <w:rsid w:val="00DB2EB1"/>
    <w:rsid w:val="00DB2EB6"/>
    <w:rsid w:val="00DB38F1"/>
    <w:rsid w:val="00DB3B34"/>
    <w:rsid w:val="00DB3BC8"/>
    <w:rsid w:val="00DB3BF8"/>
    <w:rsid w:val="00DB3C38"/>
    <w:rsid w:val="00DB3D4B"/>
    <w:rsid w:val="00DB3EB6"/>
    <w:rsid w:val="00DB40C1"/>
    <w:rsid w:val="00DB468A"/>
    <w:rsid w:val="00DB4D60"/>
    <w:rsid w:val="00DB4EFD"/>
    <w:rsid w:val="00DB4F7D"/>
    <w:rsid w:val="00DB530A"/>
    <w:rsid w:val="00DB5470"/>
    <w:rsid w:val="00DB54E6"/>
    <w:rsid w:val="00DB5743"/>
    <w:rsid w:val="00DB577C"/>
    <w:rsid w:val="00DB5CE7"/>
    <w:rsid w:val="00DB5E11"/>
    <w:rsid w:val="00DB5EA1"/>
    <w:rsid w:val="00DB5F8D"/>
    <w:rsid w:val="00DB60AD"/>
    <w:rsid w:val="00DB611C"/>
    <w:rsid w:val="00DB61DA"/>
    <w:rsid w:val="00DB638D"/>
    <w:rsid w:val="00DB63DF"/>
    <w:rsid w:val="00DB660B"/>
    <w:rsid w:val="00DB66E6"/>
    <w:rsid w:val="00DB6884"/>
    <w:rsid w:val="00DB6987"/>
    <w:rsid w:val="00DB6D3D"/>
    <w:rsid w:val="00DB6EEF"/>
    <w:rsid w:val="00DB6F0F"/>
    <w:rsid w:val="00DB7067"/>
    <w:rsid w:val="00DB70AB"/>
    <w:rsid w:val="00DB7145"/>
    <w:rsid w:val="00DB7165"/>
    <w:rsid w:val="00DB72E4"/>
    <w:rsid w:val="00DB7632"/>
    <w:rsid w:val="00DB79F6"/>
    <w:rsid w:val="00DC02ED"/>
    <w:rsid w:val="00DC037A"/>
    <w:rsid w:val="00DC039B"/>
    <w:rsid w:val="00DC0478"/>
    <w:rsid w:val="00DC066A"/>
    <w:rsid w:val="00DC0706"/>
    <w:rsid w:val="00DC0754"/>
    <w:rsid w:val="00DC09A3"/>
    <w:rsid w:val="00DC0A96"/>
    <w:rsid w:val="00DC0B21"/>
    <w:rsid w:val="00DC0CD2"/>
    <w:rsid w:val="00DC105D"/>
    <w:rsid w:val="00DC1124"/>
    <w:rsid w:val="00DC140F"/>
    <w:rsid w:val="00DC1627"/>
    <w:rsid w:val="00DC16F2"/>
    <w:rsid w:val="00DC1B32"/>
    <w:rsid w:val="00DC2281"/>
    <w:rsid w:val="00DC2326"/>
    <w:rsid w:val="00DC250D"/>
    <w:rsid w:val="00DC26B9"/>
    <w:rsid w:val="00DC271B"/>
    <w:rsid w:val="00DC2749"/>
    <w:rsid w:val="00DC284E"/>
    <w:rsid w:val="00DC28DF"/>
    <w:rsid w:val="00DC2D07"/>
    <w:rsid w:val="00DC2F4A"/>
    <w:rsid w:val="00DC3381"/>
    <w:rsid w:val="00DC33D0"/>
    <w:rsid w:val="00DC352E"/>
    <w:rsid w:val="00DC369C"/>
    <w:rsid w:val="00DC36C4"/>
    <w:rsid w:val="00DC3A16"/>
    <w:rsid w:val="00DC3B72"/>
    <w:rsid w:val="00DC3BF7"/>
    <w:rsid w:val="00DC3D75"/>
    <w:rsid w:val="00DC3DA5"/>
    <w:rsid w:val="00DC3E9C"/>
    <w:rsid w:val="00DC3FDB"/>
    <w:rsid w:val="00DC3FEE"/>
    <w:rsid w:val="00DC4120"/>
    <w:rsid w:val="00DC415E"/>
    <w:rsid w:val="00DC41C6"/>
    <w:rsid w:val="00DC42B1"/>
    <w:rsid w:val="00DC441F"/>
    <w:rsid w:val="00DC45E4"/>
    <w:rsid w:val="00DC477D"/>
    <w:rsid w:val="00DC484C"/>
    <w:rsid w:val="00DC4891"/>
    <w:rsid w:val="00DC494C"/>
    <w:rsid w:val="00DC49AD"/>
    <w:rsid w:val="00DC4A99"/>
    <w:rsid w:val="00DC4B3E"/>
    <w:rsid w:val="00DC4B5D"/>
    <w:rsid w:val="00DC4D0C"/>
    <w:rsid w:val="00DC4DB2"/>
    <w:rsid w:val="00DC4F1A"/>
    <w:rsid w:val="00DC522D"/>
    <w:rsid w:val="00DC537F"/>
    <w:rsid w:val="00DC5509"/>
    <w:rsid w:val="00DC55C9"/>
    <w:rsid w:val="00DC55F4"/>
    <w:rsid w:val="00DC564D"/>
    <w:rsid w:val="00DC5A06"/>
    <w:rsid w:val="00DC5AF9"/>
    <w:rsid w:val="00DC5E96"/>
    <w:rsid w:val="00DC5F16"/>
    <w:rsid w:val="00DC5F5D"/>
    <w:rsid w:val="00DC5F70"/>
    <w:rsid w:val="00DC6076"/>
    <w:rsid w:val="00DC6153"/>
    <w:rsid w:val="00DC61BF"/>
    <w:rsid w:val="00DC6576"/>
    <w:rsid w:val="00DC6DAF"/>
    <w:rsid w:val="00DC72D4"/>
    <w:rsid w:val="00DC7401"/>
    <w:rsid w:val="00DC76EF"/>
    <w:rsid w:val="00DC7735"/>
    <w:rsid w:val="00DC77AE"/>
    <w:rsid w:val="00DC78B3"/>
    <w:rsid w:val="00DC78D9"/>
    <w:rsid w:val="00DC7A13"/>
    <w:rsid w:val="00DC7BC7"/>
    <w:rsid w:val="00DC7C99"/>
    <w:rsid w:val="00DC7DF6"/>
    <w:rsid w:val="00DC7E93"/>
    <w:rsid w:val="00DC7F7B"/>
    <w:rsid w:val="00DD0033"/>
    <w:rsid w:val="00DD005B"/>
    <w:rsid w:val="00DD0103"/>
    <w:rsid w:val="00DD0138"/>
    <w:rsid w:val="00DD014D"/>
    <w:rsid w:val="00DD0256"/>
    <w:rsid w:val="00DD049B"/>
    <w:rsid w:val="00DD0BE2"/>
    <w:rsid w:val="00DD0D93"/>
    <w:rsid w:val="00DD0F51"/>
    <w:rsid w:val="00DD1135"/>
    <w:rsid w:val="00DD13FB"/>
    <w:rsid w:val="00DD1549"/>
    <w:rsid w:val="00DD1A65"/>
    <w:rsid w:val="00DD1AAB"/>
    <w:rsid w:val="00DD1BFE"/>
    <w:rsid w:val="00DD1DDE"/>
    <w:rsid w:val="00DD1DF9"/>
    <w:rsid w:val="00DD1EED"/>
    <w:rsid w:val="00DD219E"/>
    <w:rsid w:val="00DD22E6"/>
    <w:rsid w:val="00DD24F0"/>
    <w:rsid w:val="00DD25AA"/>
    <w:rsid w:val="00DD2C36"/>
    <w:rsid w:val="00DD2D6E"/>
    <w:rsid w:val="00DD2E8F"/>
    <w:rsid w:val="00DD2F45"/>
    <w:rsid w:val="00DD2FEF"/>
    <w:rsid w:val="00DD34E0"/>
    <w:rsid w:val="00DD34E2"/>
    <w:rsid w:val="00DD3B36"/>
    <w:rsid w:val="00DD3DF5"/>
    <w:rsid w:val="00DD4353"/>
    <w:rsid w:val="00DD4362"/>
    <w:rsid w:val="00DD4722"/>
    <w:rsid w:val="00DD48F6"/>
    <w:rsid w:val="00DD497E"/>
    <w:rsid w:val="00DD4A7B"/>
    <w:rsid w:val="00DD4AB2"/>
    <w:rsid w:val="00DD4CF3"/>
    <w:rsid w:val="00DD4FC4"/>
    <w:rsid w:val="00DD521F"/>
    <w:rsid w:val="00DD536C"/>
    <w:rsid w:val="00DD5631"/>
    <w:rsid w:val="00DD5A48"/>
    <w:rsid w:val="00DD5D83"/>
    <w:rsid w:val="00DD5DB0"/>
    <w:rsid w:val="00DD603F"/>
    <w:rsid w:val="00DD6269"/>
    <w:rsid w:val="00DD64D2"/>
    <w:rsid w:val="00DD6A3E"/>
    <w:rsid w:val="00DD6B92"/>
    <w:rsid w:val="00DD708B"/>
    <w:rsid w:val="00DD7431"/>
    <w:rsid w:val="00DD751B"/>
    <w:rsid w:val="00DD7A4E"/>
    <w:rsid w:val="00DD7A60"/>
    <w:rsid w:val="00DD7B46"/>
    <w:rsid w:val="00DD7C00"/>
    <w:rsid w:val="00DD7CFD"/>
    <w:rsid w:val="00DD7FC9"/>
    <w:rsid w:val="00DE019F"/>
    <w:rsid w:val="00DE02FF"/>
    <w:rsid w:val="00DE03DE"/>
    <w:rsid w:val="00DE041D"/>
    <w:rsid w:val="00DE0436"/>
    <w:rsid w:val="00DE04BE"/>
    <w:rsid w:val="00DE0762"/>
    <w:rsid w:val="00DE0B7D"/>
    <w:rsid w:val="00DE0C86"/>
    <w:rsid w:val="00DE0D49"/>
    <w:rsid w:val="00DE0EE7"/>
    <w:rsid w:val="00DE0F82"/>
    <w:rsid w:val="00DE15B7"/>
    <w:rsid w:val="00DE1669"/>
    <w:rsid w:val="00DE1688"/>
    <w:rsid w:val="00DE170D"/>
    <w:rsid w:val="00DE2271"/>
    <w:rsid w:val="00DE2302"/>
    <w:rsid w:val="00DE2814"/>
    <w:rsid w:val="00DE2B28"/>
    <w:rsid w:val="00DE2C7D"/>
    <w:rsid w:val="00DE2D98"/>
    <w:rsid w:val="00DE2F01"/>
    <w:rsid w:val="00DE2F9A"/>
    <w:rsid w:val="00DE2FD6"/>
    <w:rsid w:val="00DE3110"/>
    <w:rsid w:val="00DE35FC"/>
    <w:rsid w:val="00DE36CE"/>
    <w:rsid w:val="00DE38E5"/>
    <w:rsid w:val="00DE398D"/>
    <w:rsid w:val="00DE3B7E"/>
    <w:rsid w:val="00DE3CF9"/>
    <w:rsid w:val="00DE3E2E"/>
    <w:rsid w:val="00DE3E77"/>
    <w:rsid w:val="00DE3F17"/>
    <w:rsid w:val="00DE3FF8"/>
    <w:rsid w:val="00DE412F"/>
    <w:rsid w:val="00DE41D7"/>
    <w:rsid w:val="00DE43FE"/>
    <w:rsid w:val="00DE460A"/>
    <w:rsid w:val="00DE4735"/>
    <w:rsid w:val="00DE47C6"/>
    <w:rsid w:val="00DE4BC4"/>
    <w:rsid w:val="00DE4BD2"/>
    <w:rsid w:val="00DE4C11"/>
    <w:rsid w:val="00DE53CB"/>
    <w:rsid w:val="00DE542C"/>
    <w:rsid w:val="00DE55F0"/>
    <w:rsid w:val="00DE571A"/>
    <w:rsid w:val="00DE587F"/>
    <w:rsid w:val="00DE5967"/>
    <w:rsid w:val="00DE5A89"/>
    <w:rsid w:val="00DE5BE8"/>
    <w:rsid w:val="00DE5C11"/>
    <w:rsid w:val="00DE5C46"/>
    <w:rsid w:val="00DE5C69"/>
    <w:rsid w:val="00DE5F02"/>
    <w:rsid w:val="00DE6090"/>
    <w:rsid w:val="00DE63E7"/>
    <w:rsid w:val="00DE6672"/>
    <w:rsid w:val="00DE6941"/>
    <w:rsid w:val="00DE69FE"/>
    <w:rsid w:val="00DE6C72"/>
    <w:rsid w:val="00DE6CC2"/>
    <w:rsid w:val="00DE6D8D"/>
    <w:rsid w:val="00DE6DFB"/>
    <w:rsid w:val="00DE6E4E"/>
    <w:rsid w:val="00DE7256"/>
    <w:rsid w:val="00DE72B3"/>
    <w:rsid w:val="00DE766C"/>
    <w:rsid w:val="00DE78CC"/>
    <w:rsid w:val="00DE7ADF"/>
    <w:rsid w:val="00DE7D61"/>
    <w:rsid w:val="00DE7D9A"/>
    <w:rsid w:val="00DE7FD6"/>
    <w:rsid w:val="00DF02CC"/>
    <w:rsid w:val="00DF0327"/>
    <w:rsid w:val="00DF0502"/>
    <w:rsid w:val="00DF0A2B"/>
    <w:rsid w:val="00DF0C06"/>
    <w:rsid w:val="00DF0CE2"/>
    <w:rsid w:val="00DF0D34"/>
    <w:rsid w:val="00DF0EF2"/>
    <w:rsid w:val="00DF102C"/>
    <w:rsid w:val="00DF118B"/>
    <w:rsid w:val="00DF1355"/>
    <w:rsid w:val="00DF137F"/>
    <w:rsid w:val="00DF148D"/>
    <w:rsid w:val="00DF1536"/>
    <w:rsid w:val="00DF1742"/>
    <w:rsid w:val="00DF1833"/>
    <w:rsid w:val="00DF1881"/>
    <w:rsid w:val="00DF1B4D"/>
    <w:rsid w:val="00DF1C90"/>
    <w:rsid w:val="00DF1D9A"/>
    <w:rsid w:val="00DF1E58"/>
    <w:rsid w:val="00DF2019"/>
    <w:rsid w:val="00DF2038"/>
    <w:rsid w:val="00DF2245"/>
    <w:rsid w:val="00DF23CC"/>
    <w:rsid w:val="00DF23FA"/>
    <w:rsid w:val="00DF2469"/>
    <w:rsid w:val="00DF2507"/>
    <w:rsid w:val="00DF28A9"/>
    <w:rsid w:val="00DF2940"/>
    <w:rsid w:val="00DF2AC3"/>
    <w:rsid w:val="00DF2ED8"/>
    <w:rsid w:val="00DF323B"/>
    <w:rsid w:val="00DF3430"/>
    <w:rsid w:val="00DF37D7"/>
    <w:rsid w:val="00DF388B"/>
    <w:rsid w:val="00DF390C"/>
    <w:rsid w:val="00DF3998"/>
    <w:rsid w:val="00DF3BC8"/>
    <w:rsid w:val="00DF415E"/>
    <w:rsid w:val="00DF4AFA"/>
    <w:rsid w:val="00DF4D70"/>
    <w:rsid w:val="00DF4EE4"/>
    <w:rsid w:val="00DF4EF3"/>
    <w:rsid w:val="00DF5240"/>
    <w:rsid w:val="00DF52A0"/>
    <w:rsid w:val="00DF54D9"/>
    <w:rsid w:val="00DF5ADC"/>
    <w:rsid w:val="00DF6108"/>
    <w:rsid w:val="00DF6109"/>
    <w:rsid w:val="00DF6625"/>
    <w:rsid w:val="00DF6FEF"/>
    <w:rsid w:val="00DF726F"/>
    <w:rsid w:val="00DF735C"/>
    <w:rsid w:val="00DF74CC"/>
    <w:rsid w:val="00DF74D7"/>
    <w:rsid w:val="00DF76EC"/>
    <w:rsid w:val="00DF7722"/>
    <w:rsid w:val="00DF7812"/>
    <w:rsid w:val="00DF79A5"/>
    <w:rsid w:val="00DF7A8B"/>
    <w:rsid w:val="00DF7CAF"/>
    <w:rsid w:val="00DF7CE9"/>
    <w:rsid w:val="00DF7CFC"/>
    <w:rsid w:val="00DF7DB6"/>
    <w:rsid w:val="00DF7EE5"/>
    <w:rsid w:val="00DF7FCF"/>
    <w:rsid w:val="00E0035D"/>
    <w:rsid w:val="00E00A39"/>
    <w:rsid w:val="00E00B39"/>
    <w:rsid w:val="00E00E1D"/>
    <w:rsid w:val="00E00ED4"/>
    <w:rsid w:val="00E01357"/>
    <w:rsid w:val="00E013EE"/>
    <w:rsid w:val="00E01707"/>
    <w:rsid w:val="00E01828"/>
    <w:rsid w:val="00E01A02"/>
    <w:rsid w:val="00E01B5B"/>
    <w:rsid w:val="00E01EFC"/>
    <w:rsid w:val="00E024B5"/>
    <w:rsid w:val="00E02672"/>
    <w:rsid w:val="00E026E4"/>
    <w:rsid w:val="00E027B3"/>
    <w:rsid w:val="00E027D6"/>
    <w:rsid w:val="00E02A50"/>
    <w:rsid w:val="00E02AF0"/>
    <w:rsid w:val="00E02BE8"/>
    <w:rsid w:val="00E02BF7"/>
    <w:rsid w:val="00E02C94"/>
    <w:rsid w:val="00E03426"/>
    <w:rsid w:val="00E034AA"/>
    <w:rsid w:val="00E03566"/>
    <w:rsid w:val="00E03851"/>
    <w:rsid w:val="00E03936"/>
    <w:rsid w:val="00E03A6E"/>
    <w:rsid w:val="00E03B9C"/>
    <w:rsid w:val="00E03BFF"/>
    <w:rsid w:val="00E03F8C"/>
    <w:rsid w:val="00E03FA5"/>
    <w:rsid w:val="00E0456A"/>
    <w:rsid w:val="00E046AB"/>
    <w:rsid w:val="00E048F4"/>
    <w:rsid w:val="00E04AA5"/>
    <w:rsid w:val="00E0506B"/>
    <w:rsid w:val="00E0513D"/>
    <w:rsid w:val="00E0513E"/>
    <w:rsid w:val="00E051B7"/>
    <w:rsid w:val="00E05492"/>
    <w:rsid w:val="00E05501"/>
    <w:rsid w:val="00E0582A"/>
    <w:rsid w:val="00E05ABE"/>
    <w:rsid w:val="00E05B9B"/>
    <w:rsid w:val="00E05C18"/>
    <w:rsid w:val="00E05D98"/>
    <w:rsid w:val="00E05E43"/>
    <w:rsid w:val="00E060E3"/>
    <w:rsid w:val="00E06199"/>
    <w:rsid w:val="00E0619A"/>
    <w:rsid w:val="00E062ED"/>
    <w:rsid w:val="00E0639B"/>
    <w:rsid w:val="00E063F3"/>
    <w:rsid w:val="00E06562"/>
    <w:rsid w:val="00E06586"/>
    <w:rsid w:val="00E06A6C"/>
    <w:rsid w:val="00E06D14"/>
    <w:rsid w:val="00E06D3C"/>
    <w:rsid w:val="00E06D57"/>
    <w:rsid w:val="00E06EE4"/>
    <w:rsid w:val="00E06F7E"/>
    <w:rsid w:val="00E0709C"/>
    <w:rsid w:val="00E070D7"/>
    <w:rsid w:val="00E0722A"/>
    <w:rsid w:val="00E073BF"/>
    <w:rsid w:val="00E073CD"/>
    <w:rsid w:val="00E075C3"/>
    <w:rsid w:val="00E075EB"/>
    <w:rsid w:val="00E0766C"/>
    <w:rsid w:val="00E076D4"/>
    <w:rsid w:val="00E077E4"/>
    <w:rsid w:val="00E078C5"/>
    <w:rsid w:val="00E0795C"/>
    <w:rsid w:val="00E07981"/>
    <w:rsid w:val="00E07BE0"/>
    <w:rsid w:val="00E07E72"/>
    <w:rsid w:val="00E10041"/>
    <w:rsid w:val="00E102CC"/>
    <w:rsid w:val="00E1036C"/>
    <w:rsid w:val="00E10437"/>
    <w:rsid w:val="00E104D6"/>
    <w:rsid w:val="00E1059C"/>
    <w:rsid w:val="00E1102F"/>
    <w:rsid w:val="00E11090"/>
    <w:rsid w:val="00E11093"/>
    <w:rsid w:val="00E1115D"/>
    <w:rsid w:val="00E113F5"/>
    <w:rsid w:val="00E117BB"/>
    <w:rsid w:val="00E118E9"/>
    <w:rsid w:val="00E11D52"/>
    <w:rsid w:val="00E11F4A"/>
    <w:rsid w:val="00E122E1"/>
    <w:rsid w:val="00E122EF"/>
    <w:rsid w:val="00E124B3"/>
    <w:rsid w:val="00E126C7"/>
    <w:rsid w:val="00E128DC"/>
    <w:rsid w:val="00E12A5B"/>
    <w:rsid w:val="00E12BC6"/>
    <w:rsid w:val="00E12CA0"/>
    <w:rsid w:val="00E12F28"/>
    <w:rsid w:val="00E12F64"/>
    <w:rsid w:val="00E130A7"/>
    <w:rsid w:val="00E130E8"/>
    <w:rsid w:val="00E13111"/>
    <w:rsid w:val="00E135D5"/>
    <w:rsid w:val="00E135DE"/>
    <w:rsid w:val="00E137A5"/>
    <w:rsid w:val="00E137CB"/>
    <w:rsid w:val="00E13CE6"/>
    <w:rsid w:val="00E13D12"/>
    <w:rsid w:val="00E13DA9"/>
    <w:rsid w:val="00E13EE1"/>
    <w:rsid w:val="00E14059"/>
    <w:rsid w:val="00E1431F"/>
    <w:rsid w:val="00E14367"/>
    <w:rsid w:val="00E147AE"/>
    <w:rsid w:val="00E148F6"/>
    <w:rsid w:val="00E1492C"/>
    <w:rsid w:val="00E14DA9"/>
    <w:rsid w:val="00E15101"/>
    <w:rsid w:val="00E1514B"/>
    <w:rsid w:val="00E152A0"/>
    <w:rsid w:val="00E155A5"/>
    <w:rsid w:val="00E155BB"/>
    <w:rsid w:val="00E15737"/>
    <w:rsid w:val="00E15FEE"/>
    <w:rsid w:val="00E1606D"/>
    <w:rsid w:val="00E16310"/>
    <w:rsid w:val="00E163B4"/>
    <w:rsid w:val="00E16693"/>
    <w:rsid w:val="00E1678D"/>
    <w:rsid w:val="00E1682E"/>
    <w:rsid w:val="00E16BE2"/>
    <w:rsid w:val="00E16C63"/>
    <w:rsid w:val="00E16ED1"/>
    <w:rsid w:val="00E170B0"/>
    <w:rsid w:val="00E17525"/>
    <w:rsid w:val="00E17736"/>
    <w:rsid w:val="00E17785"/>
    <w:rsid w:val="00E1798C"/>
    <w:rsid w:val="00E17E40"/>
    <w:rsid w:val="00E17E76"/>
    <w:rsid w:val="00E201F7"/>
    <w:rsid w:val="00E2023A"/>
    <w:rsid w:val="00E2026E"/>
    <w:rsid w:val="00E20311"/>
    <w:rsid w:val="00E2088C"/>
    <w:rsid w:val="00E20952"/>
    <w:rsid w:val="00E20BE0"/>
    <w:rsid w:val="00E20D75"/>
    <w:rsid w:val="00E20DCF"/>
    <w:rsid w:val="00E20FDC"/>
    <w:rsid w:val="00E213F3"/>
    <w:rsid w:val="00E21535"/>
    <w:rsid w:val="00E21579"/>
    <w:rsid w:val="00E21883"/>
    <w:rsid w:val="00E218B4"/>
    <w:rsid w:val="00E21924"/>
    <w:rsid w:val="00E222FF"/>
    <w:rsid w:val="00E22866"/>
    <w:rsid w:val="00E2294F"/>
    <w:rsid w:val="00E22960"/>
    <w:rsid w:val="00E22C91"/>
    <w:rsid w:val="00E22CA6"/>
    <w:rsid w:val="00E22E3F"/>
    <w:rsid w:val="00E22F5F"/>
    <w:rsid w:val="00E230DC"/>
    <w:rsid w:val="00E230E2"/>
    <w:rsid w:val="00E23292"/>
    <w:rsid w:val="00E232CE"/>
    <w:rsid w:val="00E2369E"/>
    <w:rsid w:val="00E2372C"/>
    <w:rsid w:val="00E23AA8"/>
    <w:rsid w:val="00E23E2D"/>
    <w:rsid w:val="00E23E52"/>
    <w:rsid w:val="00E23EA2"/>
    <w:rsid w:val="00E24241"/>
    <w:rsid w:val="00E243D7"/>
    <w:rsid w:val="00E2442E"/>
    <w:rsid w:val="00E24535"/>
    <w:rsid w:val="00E24668"/>
    <w:rsid w:val="00E248D3"/>
    <w:rsid w:val="00E24A24"/>
    <w:rsid w:val="00E24DA0"/>
    <w:rsid w:val="00E24DC4"/>
    <w:rsid w:val="00E24F83"/>
    <w:rsid w:val="00E254C8"/>
    <w:rsid w:val="00E2572F"/>
    <w:rsid w:val="00E257E8"/>
    <w:rsid w:val="00E258BD"/>
    <w:rsid w:val="00E25C13"/>
    <w:rsid w:val="00E25D92"/>
    <w:rsid w:val="00E261C0"/>
    <w:rsid w:val="00E26276"/>
    <w:rsid w:val="00E263BF"/>
    <w:rsid w:val="00E26436"/>
    <w:rsid w:val="00E26853"/>
    <w:rsid w:val="00E26905"/>
    <w:rsid w:val="00E26C10"/>
    <w:rsid w:val="00E26D58"/>
    <w:rsid w:val="00E26F00"/>
    <w:rsid w:val="00E26FE1"/>
    <w:rsid w:val="00E270A5"/>
    <w:rsid w:val="00E27147"/>
    <w:rsid w:val="00E27216"/>
    <w:rsid w:val="00E272E6"/>
    <w:rsid w:val="00E2741A"/>
    <w:rsid w:val="00E2789B"/>
    <w:rsid w:val="00E278ED"/>
    <w:rsid w:val="00E27972"/>
    <w:rsid w:val="00E27C2B"/>
    <w:rsid w:val="00E30BDB"/>
    <w:rsid w:val="00E30D4B"/>
    <w:rsid w:val="00E3106E"/>
    <w:rsid w:val="00E310DB"/>
    <w:rsid w:val="00E31134"/>
    <w:rsid w:val="00E3115A"/>
    <w:rsid w:val="00E31277"/>
    <w:rsid w:val="00E312C7"/>
    <w:rsid w:val="00E31431"/>
    <w:rsid w:val="00E31457"/>
    <w:rsid w:val="00E315D0"/>
    <w:rsid w:val="00E315F0"/>
    <w:rsid w:val="00E3176B"/>
    <w:rsid w:val="00E31857"/>
    <w:rsid w:val="00E319EB"/>
    <w:rsid w:val="00E31D49"/>
    <w:rsid w:val="00E3205C"/>
    <w:rsid w:val="00E32077"/>
    <w:rsid w:val="00E3231B"/>
    <w:rsid w:val="00E33082"/>
    <w:rsid w:val="00E3396F"/>
    <w:rsid w:val="00E33AEE"/>
    <w:rsid w:val="00E33B53"/>
    <w:rsid w:val="00E33D42"/>
    <w:rsid w:val="00E33DAE"/>
    <w:rsid w:val="00E33F43"/>
    <w:rsid w:val="00E340BB"/>
    <w:rsid w:val="00E3413F"/>
    <w:rsid w:val="00E34345"/>
    <w:rsid w:val="00E3487E"/>
    <w:rsid w:val="00E34938"/>
    <w:rsid w:val="00E349A4"/>
    <w:rsid w:val="00E34B1E"/>
    <w:rsid w:val="00E35087"/>
    <w:rsid w:val="00E3511F"/>
    <w:rsid w:val="00E35276"/>
    <w:rsid w:val="00E35304"/>
    <w:rsid w:val="00E35611"/>
    <w:rsid w:val="00E3593B"/>
    <w:rsid w:val="00E35C44"/>
    <w:rsid w:val="00E35CF3"/>
    <w:rsid w:val="00E35F84"/>
    <w:rsid w:val="00E3617F"/>
    <w:rsid w:val="00E36379"/>
    <w:rsid w:val="00E366BB"/>
    <w:rsid w:val="00E36A11"/>
    <w:rsid w:val="00E36C40"/>
    <w:rsid w:val="00E36F51"/>
    <w:rsid w:val="00E36FD5"/>
    <w:rsid w:val="00E36FD8"/>
    <w:rsid w:val="00E3747E"/>
    <w:rsid w:val="00E374BE"/>
    <w:rsid w:val="00E3750A"/>
    <w:rsid w:val="00E3773B"/>
    <w:rsid w:val="00E37A0D"/>
    <w:rsid w:val="00E37AD5"/>
    <w:rsid w:val="00E37D8E"/>
    <w:rsid w:val="00E40050"/>
    <w:rsid w:val="00E40078"/>
    <w:rsid w:val="00E4020F"/>
    <w:rsid w:val="00E4030E"/>
    <w:rsid w:val="00E40501"/>
    <w:rsid w:val="00E405E8"/>
    <w:rsid w:val="00E405F0"/>
    <w:rsid w:val="00E406EB"/>
    <w:rsid w:val="00E407AB"/>
    <w:rsid w:val="00E40941"/>
    <w:rsid w:val="00E409F7"/>
    <w:rsid w:val="00E40D04"/>
    <w:rsid w:val="00E4115A"/>
    <w:rsid w:val="00E412DA"/>
    <w:rsid w:val="00E41736"/>
    <w:rsid w:val="00E41C47"/>
    <w:rsid w:val="00E42451"/>
    <w:rsid w:val="00E42470"/>
    <w:rsid w:val="00E4278C"/>
    <w:rsid w:val="00E42A49"/>
    <w:rsid w:val="00E42A8B"/>
    <w:rsid w:val="00E42C3F"/>
    <w:rsid w:val="00E42E58"/>
    <w:rsid w:val="00E42EA3"/>
    <w:rsid w:val="00E43127"/>
    <w:rsid w:val="00E432B8"/>
    <w:rsid w:val="00E432C4"/>
    <w:rsid w:val="00E432F5"/>
    <w:rsid w:val="00E43488"/>
    <w:rsid w:val="00E43679"/>
    <w:rsid w:val="00E437AE"/>
    <w:rsid w:val="00E4386D"/>
    <w:rsid w:val="00E43C74"/>
    <w:rsid w:val="00E43D36"/>
    <w:rsid w:val="00E43D9B"/>
    <w:rsid w:val="00E445C6"/>
    <w:rsid w:val="00E4474E"/>
    <w:rsid w:val="00E448B1"/>
    <w:rsid w:val="00E449F6"/>
    <w:rsid w:val="00E44AA3"/>
    <w:rsid w:val="00E44B53"/>
    <w:rsid w:val="00E44B54"/>
    <w:rsid w:val="00E44C09"/>
    <w:rsid w:val="00E44CE7"/>
    <w:rsid w:val="00E455F6"/>
    <w:rsid w:val="00E458D3"/>
    <w:rsid w:val="00E45AFA"/>
    <w:rsid w:val="00E45BB3"/>
    <w:rsid w:val="00E45C7D"/>
    <w:rsid w:val="00E45CFF"/>
    <w:rsid w:val="00E45ED8"/>
    <w:rsid w:val="00E45F1D"/>
    <w:rsid w:val="00E45F31"/>
    <w:rsid w:val="00E46099"/>
    <w:rsid w:val="00E46125"/>
    <w:rsid w:val="00E463F4"/>
    <w:rsid w:val="00E46567"/>
    <w:rsid w:val="00E46797"/>
    <w:rsid w:val="00E46845"/>
    <w:rsid w:val="00E46945"/>
    <w:rsid w:val="00E46E5B"/>
    <w:rsid w:val="00E46EA4"/>
    <w:rsid w:val="00E46EDD"/>
    <w:rsid w:val="00E475BE"/>
    <w:rsid w:val="00E476B5"/>
    <w:rsid w:val="00E47A01"/>
    <w:rsid w:val="00E47BD4"/>
    <w:rsid w:val="00E47C36"/>
    <w:rsid w:val="00E47D62"/>
    <w:rsid w:val="00E5013E"/>
    <w:rsid w:val="00E504BD"/>
    <w:rsid w:val="00E506A7"/>
    <w:rsid w:val="00E50714"/>
    <w:rsid w:val="00E508A0"/>
    <w:rsid w:val="00E508A3"/>
    <w:rsid w:val="00E50958"/>
    <w:rsid w:val="00E50972"/>
    <w:rsid w:val="00E50A36"/>
    <w:rsid w:val="00E50DE5"/>
    <w:rsid w:val="00E50E27"/>
    <w:rsid w:val="00E510EA"/>
    <w:rsid w:val="00E51184"/>
    <w:rsid w:val="00E5133A"/>
    <w:rsid w:val="00E51470"/>
    <w:rsid w:val="00E516B7"/>
    <w:rsid w:val="00E519AA"/>
    <w:rsid w:val="00E519E2"/>
    <w:rsid w:val="00E51A40"/>
    <w:rsid w:val="00E51BEF"/>
    <w:rsid w:val="00E51C09"/>
    <w:rsid w:val="00E51D9F"/>
    <w:rsid w:val="00E51F47"/>
    <w:rsid w:val="00E52022"/>
    <w:rsid w:val="00E5202F"/>
    <w:rsid w:val="00E52260"/>
    <w:rsid w:val="00E52373"/>
    <w:rsid w:val="00E52711"/>
    <w:rsid w:val="00E528E9"/>
    <w:rsid w:val="00E52959"/>
    <w:rsid w:val="00E52A0F"/>
    <w:rsid w:val="00E52AF0"/>
    <w:rsid w:val="00E535D1"/>
    <w:rsid w:val="00E535E7"/>
    <w:rsid w:val="00E53692"/>
    <w:rsid w:val="00E536E2"/>
    <w:rsid w:val="00E5383A"/>
    <w:rsid w:val="00E5394E"/>
    <w:rsid w:val="00E53B40"/>
    <w:rsid w:val="00E53F6B"/>
    <w:rsid w:val="00E53F84"/>
    <w:rsid w:val="00E5405A"/>
    <w:rsid w:val="00E5424A"/>
    <w:rsid w:val="00E54338"/>
    <w:rsid w:val="00E543A3"/>
    <w:rsid w:val="00E543EB"/>
    <w:rsid w:val="00E54517"/>
    <w:rsid w:val="00E54B96"/>
    <w:rsid w:val="00E54E66"/>
    <w:rsid w:val="00E54FFB"/>
    <w:rsid w:val="00E55481"/>
    <w:rsid w:val="00E557AD"/>
    <w:rsid w:val="00E55A19"/>
    <w:rsid w:val="00E55E52"/>
    <w:rsid w:val="00E55ED8"/>
    <w:rsid w:val="00E560DD"/>
    <w:rsid w:val="00E5610C"/>
    <w:rsid w:val="00E562F6"/>
    <w:rsid w:val="00E56420"/>
    <w:rsid w:val="00E564B0"/>
    <w:rsid w:val="00E566DF"/>
    <w:rsid w:val="00E56934"/>
    <w:rsid w:val="00E5695E"/>
    <w:rsid w:val="00E56ACC"/>
    <w:rsid w:val="00E56D69"/>
    <w:rsid w:val="00E56E1F"/>
    <w:rsid w:val="00E5714A"/>
    <w:rsid w:val="00E57367"/>
    <w:rsid w:val="00E573A3"/>
    <w:rsid w:val="00E573D7"/>
    <w:rsid w:val="00E576BB"/>
    <w:rsid w:val="00E5783E"/>
    <w:rsid w:val="00E57B31"/>
    <w:rsid w:val="00E57D23"/>
    <w:rsid w:val="00E57D8D"/>
    <w:rsid w:val="00E57E89"/>
    <w:rsid w:val="00E6015C"/>
    <w:rsid w:val="00E60373"/>
    <w:rsid w:val="00E60460"/>
    <w:rsid w:val="00E604D7"/>
    <w:rsid w:val="00E6068C"/>
    <w:rsid w:val="00E608B6"/>
    <w:rsid w:val="00E609D8"/>
    <w:rsid w:val="00E60A7C"/>
    <w:rsid w:val="00E60ED3"/>
    <w:rsid w:val="00E61074"/>
    <w:rsid w:val="00E6115D"/>
    <w:rsid w:val="00E6119B"/>
    <w:rsid w:val="00E612AB"/>
    <w:rsid w:val="00E61345"/>
    <w:rsid w:val="00E61552"/>
    <w:rsid w:val="00E618FD"/>
    <w:rsid w:val="00E61C8E"/>
    <w:rsid w:val="00E61ED7"/>
    <w:rsid w:val="00E62026"/>
    <w:rsid w:val="00E62051"/>
    <w:rsid w:val="00E62325"/>
    <w:rsid w:val="00E62676"/>
    <w:rsid w:val="00E6288C"/>
    <w:rsid w:val="00E628A0"/>
    <w:rsid w:val="00E62C0A"/>
    <w:rsid w:val="00E62FD0"/>
    <w:rsid w:val="00E63037"/>
    <w:rsid w:val="00E6306D"/>
    <w:rsid w:val="00E63247"/>
    <w:rsid w:val="00E6325F"/>
    <w:rsid w:val="00E632E2"/>
    <w:rsid w:val="00E63387"/>
    <w:rsid w:val="00E633BB"/>
    <w:rsid w:val="00E63419"/>
    <w:rsid w:val="00E63915"/>
    <w:rsid w:val="00E6400D"/>
    <w:rsid w:val="00E64032"/>
    <w:rsid w:val="00E64491"/>
    <w:rsid w:val="00E644AF"/>
    <w:rsid w:val="00E64619"/>
    <w:rsid w:val="00E646E4"/>
    <w:rsid w:val="00E64803"/>
    <w:rsid w:val="00E64D26"/>
    <w:rsid w:val="00E64DE0"/>
    <w:rsid w:val="00E65096"/>
    <w:rsid w:val="00E6536C"/>
    <w:rsid w:val="00E655C7"/>
    <w:rsid w:val="00E65663"/>
    <w:rsid w:val="00E659AF"/>
    <w:rsid w:val="00E65AA0"/>
    <w:rsid w:val="00E65B6F"/>
    <w:rsid w:val="00E65F4C"/>
    <w:rsid w:val="00E66001"/>
    <w:rsid w:val="00E66444"/>
    <w:rsid w:val="00E664AD"/>
    <w:rsid w:val="00E66550"/>
    <w:rsid w:val="00E66644"/>
    <w:rsid w:val="00E666DE"/>
    <w:rsid w:val="00E6679B"/>
    <w:rsid w:val="00E667DD"/>
    <w:rsid w:val="00E66CF7"/>
    <w:rsid w:val="00E66D99"/>
    <w:rsid w:val="00E66DA7"/>
    <w:rsid w:val="00E673C0"/>
    <w:rsid w:val="00E674AA"/>
    <w:rsid w:val="00E676B0"/>
    <w:rsid w:val="00E676BB"/>
    <w:rsid w:val="00E678A2"/>
    <w:rsid w:val="00E67A26"/>
    <w:rsid w:val="00E67CB5"/>
    <w:rsid w:val="00E67E1A"/>
    <w:rsid w:val="00E67F6B"/>
    <w:rsid w:val="00E702DC"/>
    <w:rsid w:val="00E70506"/>
    <w:rsid w:val="00E70539"/>
    <w:rsid w:val="00E706AD"/>
    <w:rsid w:val="00E707B3"/>
    <w:rsid w:val="00E707D1"/>
    <w:rsid w:val="00E70874"/>
    <w:rsid w:val="00E708CD"/>
    <w:rsid w:val="00E709C6"/>
    <w:rsid w:val="00E70C5C"/>
    <w:rsid w:val="00E70C7C"/>
    <w:rsid w:val="00E70CA8"/>
    <w:rsid w:val="00E70DB1"/>
    <w:rsid w:val="00E71066"/>
    <w:rsid w:val="00E714F4"/>
    <w:rsid w:val="00E71777"/>
    <w:rsid w:val="00E718E5"/>
    <w:rsid w:val="00E71AAA"/>
    <w:rsid w:val="00E71AF0"/>
    <w:rsid w:val="00E71AF9"/>
    <w:rsid w:val="00E71D03"/>
    <w:rsid w:val="00E71D6C"/>
    <w:rsid w:val="00E71DA3"/>
    <w:rsid w:val="00E725D0"/>
    <w:rsid w:val="00E725DA"/>
    <w:rsid w:val="00E726E6"/>
    <w:rsid w:val="00E72703"/>
    <w:rsid w:val="00E729A2"/>
    <w:rsid w:val="00E72AB7"/>
    <w:rsid w:val="00E72DD3"/>
    <w:rsid w:val="00E73058"/>
    <w:rsid w:val="00E73060"/>
    <w:rsid w:val="00E73134"/>
    <w:rsid w:val="00E731BA"/>
    <w:rsid w:val="00E734D1"/>
    <w:rsid w:val="00E734DE"/>
    <w:rsid w:val="00E7363C"/>
    <w:rsid w:val="00E73695"/>
    <w:rsid w:val="00E73AF6"/>
    <w:rsid w:val="00E73AFF"/>
    <w:rsid w:val="00E73F19"/>
    <w:rsid w:val="00E73FF3"/>
    <w:rsid w:val="00E7406C"/>
    <w:rsid w:val="00E74151"/>
    <w:rsid w:val="00E741CE"/>
    <w:rsid w:val="00E743FA"/>
    <w:rsid w:val="00E747BD"/>
    <w:rsid w:val="00E7488E"/>
    <w:rsid w:val="00E74913"/>
    <w:rsid w:val="00E7495A"/>
    <w:rsid w:val="00E74F5C"/>
    <w:rsid w:val="00E751E9"/>
    <w:rsid w:val="00E754FC"/>
    <w:rsid w:val="00E75764"/>
    <w:rsid w:val="00E7599D"/>
    <w:rsid w:val="00E75A11"/>
    <w:rsid w:val="00E763B6"/>
    <w:rsid w:val="00E766BD"/>
    <w:rsid w:val="00E7690D"/>
    <w:rsid w:val="00E76A53"/>
    <w:rsid w:val="00E76D0E"/>
    <w:rsid w:val="00E76FF6"/>
    <w:rsid w:val="00E77046"/>
    <w:rsid w:val="00E77341"/>
    <w:rsid w:val="00E77360"/>
    <w:rsid w:val="00E773FD"/>
    <w:rsid w:val="00E77431"/>
    <w:rsid w:val="00E77691"/>
    <w:rsid w:val="00E779AC"/>
    <w:rsid w:val="00E77B3F"/>
    <w:rsid w:val="00E77C6C"/>
    <w:rsid w:val="00E77CFE"/>
    <w:rsid w:val="00E77E02"/>
    <w:rsid w:val="00E77E14"/>
    <w:rsid w:val="00E77E90"/>
    <w:rsid w:val="00E77E97"/>
    <w:rsid w:val="00E801FD"/>
    <w:rsid w:val="00E803B1"/>
    <w:rsid w:val="00E8099C"/>
    <w:rsid w:val="00E80B3E"/>
    <w:rsid w:val="00E80EC9"/>
    <w:rsid w:val="00E80FEF"/>
    <w:rsid w:val="00E8113D"/>
    <w:rsid w:val="00E812FC"/>
    <w:rsid w:val="00E81405"/>
    <w:rsid w:val="00E81554"/>
    <w:rsid w:val="00E81630"/>
    <w:rsid w:val="00E8186F"/>
    <w:rsid w:val="00E81909"/>
    <w:rsid w:val="00E8190B"/>
    <w:rsid w:val="00E819AB"/>
    <w:rsid w:val="00E81B67"/>
    <w:rsid w:val="00E81B93"/>
    <w:rsid w:val="00E81DB9"/>
    <w:rsid w:val="00E8200C"/>
    <w:rsid w:val="00E820DA"/>
    <w:rsid w:val="00E8215D"/>
    <w:rsid w:val="00E8227E"/>
    <w:rsid w:val="00E82357"/>
    <w:rsid w:val="00E823E7"/>
    <w:rsid w:val="00E825E1"/>
    <w:rsid w:val="00E828E9"/>
    <w:rsid w:val="00E82CBB"/>
    <w:rsid w:val="00E82CE8"/>
    <w:rsid w:val="00E82E08"/>
    <w:rsid w:val="00E83113"/>
    <w:rsid w:val="00E83440"/>
    <w:rsid w:val="00E83460"/>
    <w:rsid w:val="00E83B48"/>
    <w:rsid w:val="00E83BEA"/>
    <w:rsid w:val="00E83E78"/>
    <w:rsid w:val="00E83EA4"/>
    <w:rsid w:val="00E842CE"/>
    <w:rsid w:val="00E84309"/>
    <w:rsid w:val="00E84358"/>
    <w:rsid w:val="00E84428"/>
    <w:rsid w:val="00E84676"/>
    <w:rsid w:val="00E84A59"/>
    <w:rsid w:val="00E84BC4"/>
    <w:rsid w:val="00E84E3C"/>
    <w:rsid w:val="00E84EC2"/>
    <w:rsid w:val="00E85049"/>
    <w:rsid w:val="00E854FE"/>
    <w:rsid w:val="00E85549"/>
    <w:rsid w:val="00E8563B"/>
    <w:rsid w:val="00E8593B"/>
    <w:rsid w:val="00E85A65"/>
    <w:rsid w:val="00E85A76"/>
    <w:rsid w:val="00E85A79"/>
    <w:rsid w:val="00E85AB1"/>
    <w:rsid w:val="00E85E64"/>
    <w:rsid w:val="00E85F32"/>
    <w:rsid w:val="00E85F8A"/>
    <w:rsid w:val="00E86098"/>
    <w:rsid w:val="00E86229"/>
    <w:rsid w:val="00E86771"/>
    <w:rsid w:val="00E867B2"/>
    <w:rsid w:val="00E86803"/>
    <w:rsid w:val="00E8687D"/>
    <w:rsid w:val="00E868BF"/>
    <w:rsid w:val="00E86C33"/>
    <w:rsid w:val="00E86F16"/>
    <w:rsid w:val="00E86F72"/>
    <w:rsid w:val="00E86FF4"/>
    <w:rsid w:val="00E87019"/>
    <w:rsid w:val="00E8719F"/>
    <w:rsid w:val="00E87264"/>
    <w:rsid w:val="00E87311"/>
    <w:rsid w:val="00E87404"/>
    <w:rsid w:val="00E87814"/>
    <w:rsid w:val="00E87A6B"/>
    <w:rsid w:val="00E87D3F"/>
    <w:rsid w:val="00E87D5D"/>
    <w:rsid w:val="00E87FB0"/>
    <w:rsid w:val="00E87FBB"/>
    <w:rsid w:val="00E90108"/>
    <w:rsid w:val="00E90172"/>
    <w:rsid w:val="00E9023F"/>
    <w:rsid w:val="00E9029B"/>
    <w:rsid w:val="00E9039E"/>
    <w:rsid w:val="00E90425"/>
    <w:rsid w:val="00E9044D"/>
    <w:rsid w:val="00E904C3"/>
    <w:rsid w:val="00E909D4"/>
    <w:rsid w:val="00E909E6"/>
    <w:rsid w:val="00E909E8"/>
    <w:rsid w:val="00E90E9A"/>
    <w:rsid w:val="00E91237"/>
    <w:rsid w:val="00E91599"/>
    <w:rsid w:val="00E91660"/>
    <w:rsid w:val="00E916F3"/>
    <w:rsid w:val="00E91B72"/>
    <w:rsid w:val="00E91D97"/>
    <w:rsid w:val="00E92120"/>
    <w:rsid w:val="00E92176"/>
    <w:rsid w:val="00E926D2"/>
    <w:rsid w:val="00E9271F"/>
    <w:rsid w:val="00E92AF5"/>
    <w:rsid w:val="00E92BBF"/>
    <w:rsid w:val="00E92E68"/>
    <w:rsid w:val="00E9337F"/>
    <w:rsid w:val="00E937AA"/>
    <w:rsid w:val="00E93956"/>
    <w:rsid w:val="00E9399D"/>
    <w:rsid w:val="00E93C7F"/>
    <w:rsid w:val="00E93CD1"/>
    <w:rsid w:val="00E940E6"/>
    <w:rsid w:val="00E942B6"/>
    <w:rsid w:val="00E94615"/>
    <w:rsid w:val="00E94D41"/>
    <w:rsid w:val="00E94DEA"/>
    <w:rsid w:val="00E94FF1"/>
    <w:rsid w:val="00E9524E"/>
    <w:rsid w:val="00E9564D"/>
    <w:rsid w:val="00E957D5"/>
    <w:rsid w:val="00E957D7"/>
    <w:rsid w:val="00E965C2"/>
    <w:rsid w:val="00E96B2C"/>
    <w:rsid w:val="00E9748D"/>
    <w:rsid w:val="00E97818"/>
    <w:rsid w:val="00E97918"/>
    <w:rsid w:val="00E97E3D"/>
    <w:rsid w:val="00E97FD0"/>
    <w:rsid w:val="00EA04EA"/>
    <w:rsid w:val="00EA0514"/>
    <w:rsid w:val="00EA0751"/>
    <w:rsid w:val="00EA09B1"/>
    <w:rsid w:val="00EA0ADB"/>
    <w:rsid w:val="00EA11BB"/>
    <w:rsid w:val="00EA1257"/>
    <w:rsid w:val="00EA13A8"/>
    <w:rsid w:val="00EA1693"/>
    <w:rsid w:val="00EA1A1F"/>
    <w:rsid w:val="00EA1AE4"/>
    <w:rsid w:val="00EA1B5B"/>
    <w:rsid w:val="00EA1CA1"/>
    <w:rsid w:val="00EA1EE7"/>
    <w:rsid w:val="00EA1F3D"/>
    <w:rsid w:val="00EA248C"/>
    <w:rsid w:val="00EA2B16"/>
    <w:rsid w:val="00EA2E49"/>
    <w:rsid w:val="00EA2F7A"/>
    <w:rsid w:val="00EA33AE"/>
    <w:rsid w:val="00EA363B"/>
    <w:rsid w:val="00EA398D"/>
    <w:rsid w:val="00EA3A0D"/>
    <w:rsid w:val="00EA3AE5"/>
    <w:rsid w:val="00EA4266"/>
    <w:rsid w:val="00EA43CF"/>
    <w:rsid w:val="00EA440D"/>
    <w:rsid w:val="00EA448E"/>
    <w:rsid w:val="00EA466E"/>
    <w:rsid w:val="00EA46AA"/>
    <w:rsid w:val="00EA4A1F"/>
    <w:rsid w:val="00EA4AA1"/>
    <w:rsid w:val="00EA4C47"/>
    <w:rsid w:val="00EA4C5A"/>
    <w:rsid w:val="00EA554D"/>
    <w:rsid w:val="00EA5B23"/>
    <w:rsid w:val="00EA5C5A"/>
    <w:rsid w:val="00EA6343"/>
    <w:rsid w:val="00EA639F"/>
    <w:rsid w:val="00EA6578"/>
    <w:rsid w:val="00EA65BB"/>
    <w:rsid w:val="00EA660A"/>
    <w:rsid w:val="00EA660F"/>
    <w:rsid w:val="00EA667A"/>
    <w:rsid w:val="00EA67C0"/>
    <w:rsid w:val="00EA6840"/>
    <w:rsid w:val="00EA6C3C"/>
    <w:rsid w:val="00EA6CCC"/>
    <w:rsid w:val="00EA6FA7"/>
    <w:rsid w:val="00EA72EF"/>
    <w:rsid w:val="00EA7463"/>
    <w:rsid w:val="00EA7638"/>
    <w:rsid w:val="00EA769A"/>
    <w:rsid w:val="00EA790B"/>
    <w:rsid w:val="00EA7A2B"/>
    <w:rsid w:val="00EA7CE6"/>
    <w:rsid w:val="00EA7F3F"/>
    <w:rsid w:val="00EB03CD"/>
    <w:rsid w:val="00EB03F0"/>
    <w:rsid w:val="00EB04A0"/>
    <w:rsid w:val="00EB0659"/>
    <w:rsid w:val="00EB0736"/>
    <w:rsid w:val="00EB0A47"/>
    <w:rsid w:val="00EB0A5A"/>
    <w:rsid w:val="00EB0FB1"/>
    <w:rsid w:val="00EB12CE"/>
    <w:rsid w:val="00EB1301"/>
    <w:rsid w:val="00EB1336"/>
    <w:rsid w:val="00EB1943"/>
    <w:rsid w:val="00EB1B54"/>
    <w:rsid w:val="00EB1E38"/>
    <w:rsid w:val="00EB1F0B"/>
    <w:rsid w:val="00EB1F15"/>
    <w:rsid w:val="00EB1F2E"/>
    <w:rsid w:val="00EB1F5E"/>
    <w:rsid w:val="00EB22A9"/>
    <w:rsid w:val="00EB2367"/>
    <w:rsid w:val="00EB246B"/>
    <w:rsid w:val="00EB27BD"/>
    <w:rsid w:val="00EB2913"/>
    <w:rsid w:val="00EB2A4E"/>
    <w:rsid w:val="00EB2A90"/>
    <w:rsid w:val="00EB2AA2"/>
    <w:rsid w:val="00EB2C7C"/>
    <w:rsid w:val="00EB2EF0"/>
    <w:rsid w:val="00EB3064"/>
    <w:rsid w:val="00EB3094"/>
    <w:rsid w:val="00EB333F"/>
    <w:rsid w:val="00EB33C8"/>
    <w:rsid w:val="00EB33E5"/>
    <w:rsid w:val="00EB34E4"/>
    <w:rsid w:val="00EB3693"/>
    <w:rsid w:val="00EB36C1"/>
    <w:rsid w:val="00EB3779"/>
    <w:rsid w:val="00EB37C6"/>
    <w:rsid w:val="00EB3A80"/>
    <w:rsid w:val="00EB3B50"/>
    <w:rsid w:val="00EB3B98"/>
    <w:rsid w:val="00EB3BE5"/>
    <w:rsid w:val="00EB3F17"/>
    <w:rsid w:val="00EB3F24"/>
    <w:rsid w:val="00EB43E7"/>
    <w:rsid w:val="00EB46B3"/>
    <w:rsid w:val="00EB490F"/>
    <w:rsid w:val="00EB4AA3"/>
    <w:rsid w:val="00EB4D69"/>
    <w:rsid w:val="00EB5291"/>
    <w:rsid w:val="00EB5707"/>
    <w:rsid w:val="00EB5856"/>
    <w:rsid w:val="00EB58E0"/>
    <w:rsid w:val="00EB5D1A"/>
    <w:rsid w:val="00EB603B"/>
    <w:rsid w:val="00EB6089"/>
    <w:rsid w:val="00EB60EE"/>
    <w:rsid w:val="00EB6110"/>
    <w:rsid w:val="00EB61DC"/>
    <w:rsid w:val="00EB6625"/>
    <w:rsid w:val="00EB6697"/>
    <w:rsid w:val="00EB68C9"/>
    <w:rsid w:val="00EB6F8D"/>
    <w:rsid w:val="00EB7004"/>
    <w:rsid w:val="00EB71DC"/>
    <w:rsid w:val="00EB73F5"/>
    <w:rsid w:val="00EB77BA"/>
    <w:rsid w:val="00EB7A40"/>
    <w:rsid w:val="00EB7A51"/>
    <w:rsid w:val="00EB7A9E"/>
    <w:rsid w:val="00EB7BF0"/>
    <w:rsid w:val="00EB7C07"/>
    <w:rsid w:val="00EB7C3D"/>
    <w:rsid w:val="00EB7D87"/>
    <w:rsid w:val="00EB7ED3"/>
    <w:rsid w:val="00EC00F8"/>
    <w:rsid w:val="00EC019D"/>
    <w:rsid w:val="00EC05DD"/>
    <w:rsid w:val="00EC05F9"/>
    <w:rsid w:val="00EC0910"/>
    <w:rsid w:val="00EC09FD"/>
    <w:rsid w:val="00EC0DE1"/>
    <w:rsid w:val="00EC0E7F"/>
    <w:rsid w:val="00EC0FA1"/>
    <w:rsid w:val="00EC1111"/>
    <w:rsid w:val="00EC116A"/>
    <w:rsid w:val="00EC134C"/>
    <w:rsid w:val="00EC1566"/>
    <w:rsid w:val="00EC174B"/>
    <w:rsid w:val="00EC1913"/>
    <w:rsid w:val="00EC19FB"/>
    <w:rsid w:val="00EC1B5A"/>
    <w:rsid w:val="00EC1C3B"/>
    <w:rsid w:val="00EC1E5C"/>
    <w:rsid w:val="00EC20A0"/>
    <w:rsid w:val="00EC22FE"/>
    <w:rsid w:val="00EC2469"/>
    <w:rsid w:val="00EC26CB"/>
    <w:rsid w:val="00EC2A53"/>
    <w:rsid w:val="00EC2F0A"/>
    <w:rsid w:val="00EC3079"/>
    <w:rsid w:val="00EC32CE"/>
    <w:rsid w:val="00EC3512"/>
    <w:rsid w:val="00EC3ABF"/>
    <w:rsid w:val="00EC3BAB"/>
    <w:rsid w:val="00EC405F"/>
    <w:rsid w:val="00EC4266"/>
    <w:rsid w:val="00EC42ED"/>
    <w:rsid w:val="00EC4371"/>
    <w:rsid w:val="00EC456D"/>
    <w:rsid w:val="00EC45EB"/>
    <w:rsid w:val="00EC48D5"/>
    <w:rsid w:val="00EC49E0"/>
    <w:rsid w:val="00EC4ACB"/>
    <w:rsid w:val="00EC4C31"/>
    <w:rsid w:val="00EC4EBE"/>
    <w:rsid w:val="00EC5008"/>
    <w:rsid w:val="00EC50BF"/>
    <w:rsid w:val="00EC5307"/>
    <w:rsid w:val="00EC54BB"/>
    <w:rsid w:val="00EC5677"/>
    <w:rsid w:val="00EC5891"/>
    <w:rsid w:val="00EC5916"/>
    <w:rsid w:val="00EC5A3E"/>
    <w:rsid w:val="00EC5BBD"/>
    <w:rsid w:val="00EC5DC0"/>
    <w:rsid w:val="00EC5F7F"/>
    <w:rsid w:val="00EC613F"/>
    <w:rsid w:val="00EC61DF"/>
    <w:rsid w:val="00EC62B4"/>
    <w:rsid w:val="00EC62F8"/>
    <w:rsid w:val="00EC6322"/>
    <w:rsid w:val="00EC6516"/>
    <w:rsid w:val="00EC658A"/>
    <w:rsid w:val="00EC6671"/>
    <w:rsid w:val="00EC6928"/>
    <w:rsid w:val="00EC6C67"/>
    <w:rsid w:val="00EC6D2C"/>
    <w:rsid w:val="00EC7135"/>
    <w:rsid w:val="00EC715C"/>
    <w:rsid w:val="00EC7332"/>
    <w:rsid w:val="00EC73A8"/>
    <w:rsid w:val="00EC744F"/>
    <w:rsid w:val="00EC7920"/>
    <w:rsid w:val="00EC798D"/>
    <w:rsid w:val="00EC7C1F"/>
    <w:rsid w:val="00ED024A"/>
    <w:rsid w:val="00ED0253"/>
    <w:rsid w:val="00ED0376"/>
    <w:rsid w:val="00ED0404"/>
    <w:rsid w:val="00ED0622"/>
    <w:rsid w:val="00ED077B"/>
    <w:rsid w:val="00ED0990"/>
    <w:rsid w:val="00ED0B00"/>
    <w:rsid w:val="00ED0BD0"/>
    <w:rsid w:val="00ED0C07"/>
    <w:rsid w:val="00ED0D42"/>
    <w:rsid w:val="00ED0EED"/>
    <w:rsid w:val="00ED0F67"/>
    <w:rsid w:val="00ED0FEB"/>
    <w:rsid w:val="00ED11E1"/>
    <w:rsid w:val="00ED12B0"/>
    <w:rsid w:val="00ED1689"/>
    <w:rsid w:val="00ED17BC"/>
    <w:rsid w:val="00ED1869"/>
    <w:rsid w:val="00ED1ED8"/>
    <w:rsid w:val="00ED2494"/>
    <w:rsid w:val="00ED2723"/>
    <w:rsid w:val="00ED2A05"/>
    <w:rsid w:val="00ED2D71"/>
    <w:rsid w:val="00ED3482"/>
    <w:rsid w:val="00ED36A3"/>
    <w:rsid w:val="00ED36FD"/>
    <w:rsid w:val="00ED3740"/>
    <w:rsid w:val="00ED3764"/>
    <w:rsid w:val="00ED37C5"/>
    <w:rsid w:val="00ED37F7"/>
    <w:rsid w:val="00ED3871"/>
    <w:rsid w:val="00ED3916"/>
    <w:rsid w:val="00ED39C6"/>
    <w:rsid w:val="00ED3A7E"/>
    <w:rsid w:val="00ED3ACD"/>
    <w:rsid w:val="00ED3C0A"/>
    <w:rsid w:val="00ED4102"/>
    <w:rsid w:val="00ED4120"/>
    <w:rsid w:val="00ED41C7"/>
    <w:rsid w:val="00ED43BF"/>
    <w:rsid w:val="00ED4532"/>
    <w:rsid w:val="00ED45C3"/>
    <w:rsid w:val="00ED49A8"/>
    <w:rsid w:val="00ED4D0D"/>
    <w:rsid w:val="00ED4E08"/>
    <w:rsid w:val="00ED4E93"/>
    <w:rsid w:val="00ED4FBE"/>
    <w:rsid w:val="00ED5080"/>
    <w:rsid w:val="00ED5139"/>
    <w:rsid w:val="00ED5154"/>
    <w:rsid w:val="00ED51BC"/>
    <w:rsid w:val="00ED51E7"/>
    <w:rsid w:val="00ED54E4"/>
    <w:rsid w:val="00ED57FA"/>
    <w:rsid w:val="00ED587E"/>
    <w:rsid w:val="00ED5A65"/>
    <w:rsid w:val="00ED5E6F"/>
    <w:rsid w:val="00ED5F47"/>
    <w:rsid w:val="00ED6018"/>
    <w:rsid w:val="00ED6115"/>
    <w:rsid w:val="00ED61EE"/>
    <w:rsid w:val="00ED62F3"/>
    <w:rsid w:val="00ED63DD"/>
    <w:rsid w:val="00ED67A2"/>
    <w:rsid w:val="00ED6855"/>
    <w:rsid w:val="00ED69C8"/>
    <w:rsid w:val="00ED6A56"/>
    <w:rsid w:val="00ED6BB6"/>
    <w:rsid w:val="00ED6DCE"/>
    <w:rsid w:val="00ED710A"/>
    <w:rsid w:val="00ED7261"/>
    <w:rsid w:val="00ED7356"/>
    <w:rsid w:val="00ED7589"/>
    <w:rsid w:val="00ED761D"/>
    <w:rsid w:val="00ED763C"/>
    <w:rsid w:val="00ED772C"/>
    <w:rsid w:val="00ED7772"/>
    <w:rsid w:val="00ED78BD"/>
    <w:rsid w:val="00ED794B"/>
    <w:rsid w:val="00ED7C66"/>
    <w:rsid w:val="00ED7CE9"/>
    <w:rsid w:val="00ED7F65"/>
    <w:rsid w:val="00ED7FD5"/>
    <w:rsid w:val="00EE0369"/>
    <w:rsid w:val="00EE0445"/>
    <w:rsid w:val="00EE0842"/>
    <w:rsid w:val="00EE0873"/>
    <w:rsid w:val="00EE087A"/>
    <w:rsid w:val="00EE0882"/>
    <w:rsid w:val="00EE08F1"/>
    <w:rsid w:val="00EE091C"/>
    <w:rsid w:val="00EE0967"/>
    <w:rsid w:val="00EE0982"/>
    <w:rsid w:val="00EE0A8B"/>
    <w:rsid w:val="00EE0B20"/>
    <w:rsid w:val="00EE0BE4"/>
    <w:rsid w:val="00EE0C5C"/>
    <w:rsid w:val="00EE15DF"/>
    <w:rsid w:val="00EE177D"/>
    <w:rsid w:val="00EE1803"/>
    <w:rsid w:val="00EE1937"/>
    <w:rsid w:val="00EE1BEF"/>
    <w:rsid w:val="00EE1DC1"/>
    <w:rsid w:val="00EE1E91"/>
    <w:rsid w:val="00EE1F2F"/>
    <w:rsid w:val="00EE211C"/>
    <w:rsid w:val="00EE2286"/>
    <w:rsid w:val="00EE22C7"/>
    <w:rsid w:val="00EE235E"/>
    <w:rsid w:val="00EE2461"/>
    <w:rsid w:val="00EE251D"/>
    <w:rsid w:val="00EE2688"/>
    <w:rsid w:val="00EE270C"/>
    <w:rsid w:val="00EE2D03"/>
    <w:rsid w:val="00EE2E1A"/>
    <w:rsid w:val="00EE3052"/>
    <w:rsid w:val="00EE31EF"/>
    <w:rsid w:val="00EE3248"/>
    <w:rsid w:val="00EE328E"/>
    <w:rsid w:val="00EE37EB"/>
    <w:rsid w:val="00EE3A6D"/>
    <w:rsid w:val="00EE3EB5"/>
    <w:rsid w:val="00EE4092"/>
    <w:rsid w:val="00EE40B5"/>
    <w:rsid w:val="00EE41D6"/>
    <w:rsid w:val="00EE420A"/>
    <w:rsid w:val="00EE439B"/>
    <w:rsid w:val="00EE43EC"/>
    <w:rsid w:val="00EE44C0"/>
    <w:rsid w:val="00EE4509"/>
    <w:rsid w:val="00EE4689"/>
    <w:rsid w:val="00EE48D5"/>
    <w:rsid w:val="00EE4A1B"/>
    <w:rsid w:val="00EE4D3A"/>
    <w:rsid w:val="00EE4FAC"/>
    <w:rsid w:val="00EE53E3"/>
    <w:rsid w:val="00EE53E5"/>
    <w:rsid w:val="00EE571B"/>
    <w:rsid w:val="00EE5766"/>
    <w:rsid w:val="00EE57EA"/>
    <w:rsid w:val="00EE588A"/>
    <w:rsid w:val="00EE5DF1"/>
    <w:rsid w:val="00EE5FB2"/>
    <w:rsid w:val="00EE6379"/>
    <w:rsid w:val="00EE687C"/>
    <w:rsid w:val="00EE6885"/>
    <w:rsid w:val="00EE6904"/>
    <w:rsid w:val="00EE692C"/>
    <w:rsid w:val="00EE6B62"/>
    <w:rsid w:val="00EE6C35"/>
    <w:rsid w:val="00EE71ED"/>
    <w:rsid w:val="00EE7253"/>
    <w:rsid w:val="00EE7319"/>
    <w:rsid w:val="00EE770F"/>
    <w:rsid w:val="00EE7745"/>
    <w:rsid w:val="00EE7884"/>
    <w:rsid w:val="00EE793F"/>
    <w:rsid w:val="00EE796C"/>
    <w:rsid w:val="00EE7993"/>
    <w:rsid w:val="00EE7C6C"/>
    <w:rsid w:val="00EF0106"/>
    <w:rsid w:val="00EF02B9"/>
    <w:rsid w:val="00EF0428"/>
    <w:rsid w:val="00EF048F"/>
    <w:rsid w:val="00EF051D"/>
    <w:rsid w:val="00EF052B"/>
    <w:rsid w:val="00EF0B1C"/>
    <w:rsid w:val="00EF0D09"/>
    <w:rsid w:val="00EF1515"/>
    <w:rsid w:val="00EF15E1"/>
    <w:rsid w:val="00EF1623"/>
    <w:rsid w:val="00EF16B2"/>
    <w:rsid w:val="00EF1787"/>
    <w:rsid w:val="00EF17CC"/>
    <w:rsid w:val="00EF18FB"/>
    <w:rsid w:val="00EF1A9A"/>
    <w:rsid w:val="00EF2094"/>
    <w:rsid w:val="00EF215E"/>
    <w:rsid w:val="00EF2213"/>
    <w:rsid w:val="00EF222F"/>
    <w:rsid w:val="00EF226A"/>
    <w:rsid w:val="00EF2427"/>
    <w:rsid w:val="00EF2976"/>
    <w:rsid w:val="00EF2B2D"/>
    <w:rsid w:val="00EF31E9"/>
    <w:rsid w:val="00EF3416"/>
    <w:rsid w:val="00EF3507"/>
    <w:rsid w:val="00EF35CC"/>
    <w:rsid w:val="00EF35EF"/>
    <w:rsid w:val="00EF3D06"/>
    <w:rsid w:val="00EF412D"/>
    <w:rsid w:val="00EF44F5"/>
    <w:rsid w:val="00EF4591"/>
    <w:rsid w:val="00EF4610"/>
    <w:rsid w:val="00EF4776"/>
    <w:rsid w:val="00EF4979"/>
    <w:rsid w:val="00EF4AEB"/>
    <w:rsid w:val="00EF4C07"/>
    <w:rsid w:val="00EF4E28"/>
    <w:rsid w:val="00EF4E8C"/>
    <w:rsid w:val="00EF519D"/>
    <w:rsid w:val="00EF5629"/>
    <w:rsid w:val="00EF59D4"/>
    <w:rsid w:val="00EF5A56"/>
    <w:rsid w:val="00EF5BAD"/>
    <w:rsid w:val="00EF5D3B"/>
    <w:rsid w:val="00EF5D43"/>
    <w:rsid w:val="00EF5D82"/>
    <w:rsid w:val="00EF5DC1"/>
    <w:rsid w:val="00EF5FEF"/>
    <w:rsid w:val="00EF6366"/>
    <w:rsid w:val="00EF672B"/>
    <w:rsid w:val="00EF672D"/>
    <w:rsid w:val="00EF6A60"/>
    <w:rsid w:val="00EF6CBB"/>
    <w:rsid w:val="00EF6E6A"/>
    <w:rsid w:val="00EF7378"/>
    <w:rsid w:val="00EF74C7"/>
    <w:rsid w:val="00EF7683"/>
    <w:rsid w:val="00EF78AD"/>
    <w:rsid w:val="00EF78F4"/>
    <w:rsid w:val="00EF7AFC"/>
    <w:rsid w:val="00EF7C19"/>
    <w:rsid w:val="00EF7D4B"/>
    <w:rsid w:val="00F00085"/>
    <w:rsid w:val="00F000D2"/>
    <w:rsid w:val="00F00214"/>
    <w:rsid w:val="00F002D8"/>
    <w:rsid w:val="00F00635"/>
    <w:rsid w:val="00F00808"/>
    <w:rsid w:val="00F00809"/>
    <w:rsid w:val="00F00C3B"/>
    <w:rsid w:val="00F00CBC"/>
    <w:rsid w:val="00F00F7C"/>
    <w:rsid w:val="00F00FB0"/>
    <w:rsid w:val="00F0100D"/>
    <w:rsid w:val="00F01124"/>
    <w:rsid w:val="00F01211"/>
    <w:rsid w:val="00F012E6"/>
    <w:rsid w:val="00F017FA"/>
    <w:rsid w:val="00F018A0"/>
    <w:rsid w:val="00F018E4"/>
    <w:rsid w:val="00F019CF"/>
    <w:rsid w:val="00F020E7"/>
    <w:rsid w:val="00F02267"/>
    <w:rsid w:val="00F024E1"/>
    <w:rsid w:val="00F02704"/>
    <w:rsid w:val="00F02713"/>
    <w:rsid w:val="00F02C52"/>
    <w:rsid w:val="00F02D00"/>
    <w:rsid w:val="00F02D79"/>
    <w:rsid w:val="00F03202"/>
    <w:rsid w:val="00F0335A"/>
    <w:rsid w:val="00F036C5"/>
    <w:rsid w:val="00F036CE"/>
    <w:rsid w:val="00F03BBE"/>
    <w:rsid w:val="00F03FA8"/>
    <w:rsid w:val="00F04550"/>
    <w:rsid w:val="00F046D4"/>
    <w:rsid w:val="00F04915"/>
    <w:rsid w:val="00F04A9A"/>
    <w:rsid w:val="00F04CED"/>
    <w:rsid w:val="00F04FB9"/>
    <w:rsid w:val="00F04FE4"/>
    <w:rsid w:val="00F0541F"/>
    <w:rsid w:val="00F05460"/>
    <w:rsid w:val="00F05810"/>
    <w:rsid w:val="00F0592E"/>
    <w:rsid w:val="00F05AFC"/>
    <w:rsid w:val="00F05D39"/>
    <w:rsid w:val="00F05E2C"/>
    <w:rsid w:val="00F05E51"/>
    <w:rsid w:val="00F05F70"/>
    <w:rsid w:val="00F05FCA"/>
    <w:rsid w:val="00F06060"/>
    <w:rsid w:val="00F060B2"/>
    <w:rsid w:val="00F061B9"/>
    <w:rsid w:val="00F065B6"/>
    <w:rsid w:val="00F067A8"/>
    <w:rsid w:val="00F0683B"/>
    <w:rsid w:val="00F06CE6"/>
    <w:rsid w:val="00F06CFB"/>
    <w:rsid w:val="00F06D33"/>
    <w:rsid w:val="00F06DF1"/>
    <w:rsid w:val="00F070BE"/>
    <w:rsid w:val="00F078D8"/>
    <w:rsid w:val="00F07977"/>
    <w:rsid w:val="00F07FA1"/>
    <w:rsid w:val="00F100E4"/>
    <w:rsid w:val="00F1035F"/>
    <w:rsid w:val="00F104DF"/>
    <w:rsid w:val="00F10B15"/>
    <w:rsid w:val="00F10B3D"/>
    <w:rsid w:val="00F10B48"/>
    <w:rsid w:val="00F10BCA"/>
    <w:rsid w:val="00F10CD4"/>
    <w:rsid w:val="00F1111D"/>
    <w:rsid w:val="00F111CF"/>
    <w:rsid w:val="00F112B9"/>
    <w:rsid w:val="00F116BB"/>
    <w:rsid w:val="00F11BE3"/>
    <w:rsid w:val="00F1206F"/>
    <w:rsid w:val="00F122B7"/>
    <w:rsid w:val="00F12435"/>
    <w:rsid w:val="00F1248F"/>
    <w:rsid w:val="00F1251F"/>
    <w:rsid w:val="00F1276B"/>
    <w:rsid w:val="00F128E0"/>
    <w:rsid w:val="00F12A3D"/>
    <w:rsid w:val="00F12BAE"/>
    <w:rsid w:val="00F12CED"/>
    <w:rsid w:val="00F13016"/>
    <w:rsid w:val="00F1325C"/>
    <w:rsid w:val="00F13688"/>
    <w:rsid w:val="00F13933"/>
    <w:rsid w:val="00F13A5C"/>
    <w:rsid w:val="00F13D9E"/>
    <w:rsid w:val="00F13F23"/>
    <w:rsid w:val="00F146B4"/>
    <w:rsid w:val="00F146EF"/>
    <w:rsid w:val="00F14859"/>
    <w:rsid w:val="00F149C5"/>
    <w:rsid w:val="00F149F7"/>
    <w:rsid w:val="00F14A68"/>
    <w:rsid w:val="00F14AF5"/>
    <w:rsid w:val="00F14E45"/>
    <w:rsid w:val="00F15292"/>
    <w:rsid w:val="00F15307"/>
    <w:rsid w:val="00F1554B"/>
    <w:rsid w:val="00F15ABC"/>
    <w:rsid w:val="00F15E4E"/>
    <w:rsid w:val="00F15F78"/>
    <w:rsid w:val="00F161A7"/>
    <w:rsid w:val="00F161AD"/>
    <w:rsid w:val="00F163AC"/>
    <w:rsid w:val="00F164AA"/>
    <w:rsid w:val="00F1652C"/>
    <w:rsid w:val="00F166B1"/>
    <w:rsid w:val="00F1698E"/>
    <w:rsid w:val="00F16A18"/>
    <w:rsid w:val="00F16F3E"/>
    <w:rsid w:val="00F17268"/>
    <w:rsid w:val="00F17285"/>
    <w:rsid w:val="00F17487"/>
    <w:rsid w:val="00F17565"/>
    <w:rsid w:val="00F175A9"/>
    <w:rsid w:val="00F17616"/>
    <w:rsid w:val="00F17C58"/>
    <w:rsid w:val="00F17D4C"/>
    <w:rsid w:val="00F17D86"/>
    <w:rsid w:val="00F17DCE"/>
    <w:rsid w:val="00F2021B"/>
    <w:rsid w:val="00F2053A"/>
    <w:rsid w:val="00F20948"/>
    <w:rsid w:val="00F20AF8"/>
    <w:rsid w:val="00F20C89"/>
    <w:rsid w:val="00F20DF5"/>
    <w:rsid w:val="00F211DC"/>
    <w:rsid w:val="00F2129F"/>
    <w:rsid w:val="00F2130A"/>
    <w:rsid w:val="00F213FA"/>
    <w:rsid w:val="00F2170F"/>
    <w:rsid w:val="00F21736"/>
    <w:rsid w:val="00F2187E"/>
    <w:rsid w:val="00F219C2"/>
    <w:rsid w:val="00F21C3F"/>
    <w:rsid w:val="00F21D34"/>
    <w:rsid w:val="00F21DAC"/>
    <w:rsid w:val="00F21FAF"/>
    <w:rsid w:val="00F22030"/>
    <w:rsid w:val="00F2217E"/>
    <w:rsid w:val="00F22281"/>
    <w:rsid w:val="00F225E4"/>
    <w:rsid w:val="00F225FA"/>
    <w:rsid w:val="00F22609"/>
    <w:rsid w:val="00F22630"/>
    <w:rsid w:val="00F226C9"/>
    <w:rsid w:val="00F22A20"/>
    <w:rsid w:val="00F23087"/>
    <w:rsid w:val="00F2359E"/>
    <w:rsid w:val="00F23793"/>
    <w:rsid w:val="00F239FE"/>
    <w:rsid w:val="00F23C97"/>
    <w:rsid w:val="00F23E4A"/>
    <w:rsid w:val="00F23F5F"/>
    <w:rsid w:val="00F23FB0"/>
    <w:rsid w:val="00F2401D"/>
    <w:rsid w:val="00F24252"/>
    <w:rsid w:val="00F2442F"/>
    <w:rsid w:val="00F2445A"/>
    <w:rsid w:val="00F24513"/>
    <w:rsid w:val="00F2471F"/>
    <w:rsid w:val="00F24900"/>
    <w:rsid w:val="00F2497A"/>
    <w:rsid w:val="00F24A3D"/>
    <w:rsid w:val="00F24DD4"/>
    <w:rsid w:val="00F25260"/>
    <w:rsid w:val="00F252EE"/>
    <w:rsid w:val="00F252FC"/>
    <w:rsid w:val="00F253AF"/>
    <w:rsid w:val="00F2566A"/>
    <w:rsid w:val="00F256E2"/>
    <w:rsid w:val="00F256FA"/>
    <w:rsid w:val="00F25BAE"/>
    <w:rsid w:val="00F2607B"/>
    <w:rsid w:val="00F2612F"/>
    <w:rsid w:val="00F26306"/>
    <w:rsid w:val="00F26477"/>
    <w:rsid w:val="00F264B5"/>
    <w:rsid w:val="00F2659A"/>
    <w:rsid w:val="00F26B16"/>
    <w:rsid w:val="00F26B45"/>
    <w:rsid w:val="00F26B53"/>
    <w:rsid w:val="00F26CA0"/>
    <w:rsid w:val="00F26FEF"/>
    <w:rsid w:val="00F27268"/>
    <w:rsid w:val="00F27355"/>
    <w:rsid w:val="00F274CD"/>
    <w:rsid w:val="00F2772F"/>
    <w:rsid w:val="00F27910"/>
    <w:rsid w:val="00F2796D"/>
    <w:rsid w:val="00F27A71"/>
    <w:rsid w:val="00F27ADF"/>
    <w:rsid w:val="00F27C51"/>
    <w:rsid w:val="00F27E8C"/>
    <w:rsid w:val="00F27E9E"/>
    <w:rsid w:val="00F300B9"/>
    <w:rsid w:val="00F301FB"/>
    <w:rsid w:val="00F302EB"/>
    <w:rsid w:val="00F30AA7"/>
    <w:rsid w:val="00F30B6F"/>
    <w:rsid w:val="00F30D72"/>
    <w:rsid w:val="00F30E4C"/>
    <w:rsid w:val="00F30E65"/>
    <w:rsid w:val="00F30E6B"/>
    <w:rsid w:val="00F310B0"/>
    <w:rsid w:val="00F31161"/>
    <w:rsid w:val="00F3117E"/>
    <w:rsid w:val="00F3122C"/>
    <w:rsid w:val="00F312CE"/>
    <w:rsid w:val="00F31304"/>
    <w:rsid w:val="00F31435"/>
    <w:rsid w:val="00F315F7"/>
    <w:rsid w:val="00F3174A"/>
    <w:rsid w:val="00F3175C"/>
    <w:rsid w:val="00F317AC"/>
    <w:rsid w:val="00F31C40"/>
    <w:rsid w:val="00F31F71"/>
    <w:rsid w:val="00F3214C"/>
    <w:rsid w:val="00F321B1"/>
    <w:rsid w:val="00F323A0"/>
    <w:rsid w:val="00F326B8"/>
    <w:rsid w:val="00F32730"/>
    <w:rsid w:val="00F327AD"/>
    <w:rsid w:val="00F32C5F"/>
    <w:rsid w:val="00F32C8A"/>
    <w:rsid w:val="00F32FA8"/>
    <w:rsid w:val="00F331E0"/>
    <w:rsid w:val="00F33208"/>
    <w:rsid w:val="00F332CF"/>
    <w:rsid w:val="00F332EB"/>
    <w:rsid w:val="00F333B8"/>
    <w:rsid w:val="00F333C7"/>
    <w:rsid w:val="00F3354B"/>
    <w:rsid w:val="00F336F4"/>
    <w:rsid w:val="00F3382C"/>
    <w:rsid w:val="00F338D5"/>
    <w:rsid w:val="00F33AA4"/>
    <w:rsid w:val="00F33E95"/>
    <w:rsid w:val="00F33EDF"/>
    <w:rsid w:val="00F33F4F"/>
    <w:rsid w:val="00F340F1"/>
    <w:rsid w:val="00F341A9"/>
    <w:rsid w:val="00F341F4"/>
    <w:rsid w:val="00F34246"/>
    <w:rsid w:val="00F342E8"/>
    <w:rsid w:val="00F34388"/>
    <w:rsid w:val="00F343FA"/>
    <w:rsid w:val="00F3446D"/>
    <w:rsid w:val="00F344BF"/>
    <w:rsid w:val="00F346C8"/>
    <w:rsid w:val="00F3470A"/>
    <w:rsid w:val="00F34A20"/>
    <w:rsid w:val="00F34A7E"/>
    <w:rsid w:val="00F34BC2"/>
    <w:rsid w:val="00F34C43"/>
    <w:rsid w:val="00F34D7A"/>
    <w:rsid w:val="00F34E12"/>
    <w:rsid w:val="00F34EE9"/>
    <w:rsid w:val="00F34F51"/>
    <w:rsid w:val="00F3521C"/>
    <w:rsid w:val="00F35227"/>
    <w:rsid w:val="00F3528F"/>
    <w:rsid w:val="00F352B6"/>
    <w:rsid w:val="00F353BC"/>
    <w:rsid w:val="00F35756"/>
    <w:rsid w:val="00F3599A"/>
    <w:rsid w:val="00F35A4B"/>
    <w:rsid w:val="00F35A80"/>
    <w:rsid w:val="00F35F6E"/>
    <w:rsid w:val="00F3604F"/>
    <w:rsid w:val="00F3609A"/>
    <w:rsid w:val="00F36605"/>
    <w:rsid w:val="00F36807"/>
    <w:rsid w:val="00F36CB0"/>
    <w:rsid w:val="00F36D01"/>
    <w:rsid w:val="00F36D42"/>
    <w:rsid w:val="00F36EE8"/>
    <w:rsid w:val="00F37049"/>
    <w:rsid w:val="00F37186"/>
    <w:rsid w:val="00F3736E"/>
    <w:rsid w:val="00F3771C"/>
    <w:rsid w:val="00F37778"/>
    <w:rsid w:val="00F37804"/>
    <w:rsid w:val="00F37809"/>
    <w:rsid w:val="00F378F1"/>
    <w:rsid w:val="00F37927"/>
    <w:rsid w:val="00F37AA0"/>
    <w:rsid w:val="00F37D70"/>
    <w:rsid w:val="00F37E36"/>
    <w:rsid w:val="00F37F7B"/>
    <w:rsid w:val="00F401D1"/>
    <w:rsid w:val="00F404A7"/>
    <w:rsid w:val="00F40627"/>
    <w:rsid w:val="00F406E1"/>
    <w:rsid w:val="00F40712"/>
    <w:rsid w:val="00F407EE"/>
    <w:rsid w:val="00F40C0C"/>
    <w:rsid w:val="00F40F07"/>
    <w:rsid w:val="00F4133E"/>
    <w:rsid w:val="00F4150D"/>
    <w:rsid w:val="00F41538"/>
    <w:rsid w:val="00F41602"/>
    <w:rsid w:val="00F4170C"/>
    <w:rsid w:val="00F41757"/>
    <w:rsid w:val="00F41BFA"/>
    <w:rsid w:val="00F42124"/>
    <w:rsid w:val="00F421DE"/>
    <w:rsid w:val="00F422A0"/>
    <w:rsid w:val="00F4237F"/>
    <w:rsid w:val="00F428B8"/>
    <w:rsid w:val="00F429BE"/>
    <w:rsid w:val="00F42AF1"/>
    <w:rsid w:val="00F42C07"/>
    <w:rsid w:val="00F42F4D"/>
    <w:rsid w:val="00F4344B"/>
    <w:rsid w:val="00F437A4"/>
    <w:rsid w:val="00F437BF"/>
    <w:rsid w:val="00F43AF7"/>
    <w:rsid w:val="00F43D3A"/>
    <w:rsid w:val="00F43F30"/>
    <w:rsid w:val="00F44027"/>
    <w:rsid w:val="00F440B0"/>
    <w:rsid w:val="00F443E0"/>
    <w:rsid w:val="00F4461B"/>
    <w:rsid w:val="00F4490A"/>
    <w:rsid w:val="00F44967"/>
    <w:rsid w:val="00F44B83"/>
    <w:rsid w:val="00F44FA9"/>
    <w:rsid w:val="00F44FCE"/>
    <w:rsid w:val="00F45044"/>
    <w:rsid w:val="00F45067"/>
    <w:rsid w:val="00F4548B"/>
    <w:rsid w:val="00F45520"/>
    <w:rsid w:val="00F45597"/>
    <w:rsid w:val="00F459B7"/>
    <w:rsid w:val="00F45DD4"/>
    <w:rsid w:val="00F45EC8"/>
    <w:rsid w:val="00F45F03"/>
    <w:rsid w:val="00F461C5"/>
    <w:rsid w:val="00F4632E"/>
    <w:rsid w:val="00F46468"/>
    <w:rsid w:val="00F4653B"/>
    <w:rsid w:val="00F4667C"/>
    <w:rsid w:val="00F46708"/>
    <w:rsid w:val="00F46B1A"/>
    <w:rsid w:val="00F46B73"/>
    <w:rsid w:val="00F46D3F"/>
    <w:rsid w:val="00F46D5B"/>
    <w:rsid w:val="00F46E92"/>
    <w:rsid w:val="00F472D1"/>
    <w:rsid w:val="00F47381"/>
    <w:rsid w:val="00F473A1"/>
    <w:rsid w:val="00F47618"/>
    <w:rsid w:val="00F4785C"/>
    <w:rsid w:val="00F47D6E"/>
    <w:rsid w:val="00F50088"/>
    <w:rsid w:val="00F50418"/>
    <w:rsid w:val="00F50604"/>
    <w:rsid w:val="00F507CC"/>
    <w:rsid w:val="00F50906"/>
    <w:rsid w:val="00F50967"/>
    <w:rsid w:val="00F50C74"/>
    <w:rsid w:val="00F5113C"/>
    <w:rsid w:val="00F514B7"/>
    <w:rsid w:val="00F51591"/>
    <w:rsid w:val="00F51705"/>
    <w:rsid w:val="00F5172E"/>
    <w:rsid w:val="00F518BA"/>
    <w:rsid w:val="00F51963"/>
    <w:rsid w:val="00F51974"/>
    <w:rsid w:val="00F51B07"/>
    <w:rsid w:val="00F51FEC"/>
    <w:rsid w:val="00F520A0"/>
    <w:rsid w:val="00F527C7"/>
    <w:rsid w:val="00F52902"/>
    <w:rsid w:val="00F52C2D"/>
    <w:rsid w:val="00F52E0D"/>
    <w:rsid w:val="00F52E59"/>
    <w:rsid w:val="00F52ED4"/>
    <w:rsid w:val="00F53199"/>
    <w:rsid w:val="00F531F0"/>
    <w:rsid w:val="00F532FB"/>
    <w:rsid w:val="00F5356E"/>
    <w:rsid w:val="00F53851"/>
    <w:rsid w:val="00F5390E"/>
    <w:rsid w:val="00F53B46"/>
    <w:rsid w:val="00F53D5A"/>
    <w:rsid w:val="00F53E79"/>
    <w:rsid w:val="00F53E8F"/>
    <w:rsid w:val="00F53EAE"/>
    <w:rsid w:val="00F54002"/>
    <w:rsid w:val="00F54420"/>
    <w:rsid w:val="00F544A8"/>
    <w:rsid w:val="00F5455C"/>
    <w:rsid w:val="00F54A16"/>
    <w:rsid w:val="00F54A20"/>
    <w:rsid w:val="00F54B28"/>
    <w:rsid w:val="00F54EEE"/>
    <w:rsid w:val="00F54F5D"/>
    <w:rsid w:val="00F551D0"/>
    <w:rsid w:val="00F555A4"/>
    <w:rsid w:val="00F55817"/>
    <w:rsid w:val="00F55956"/>
    <w:rsid w:val="00F559CD"/>
    <w:rsid w:val="00F55A4C"/>
    <w:rsid w:val="00F55BB9"/>
    <w:rsid w:val="00F55D56"/>
    <w:rsid w:val="00F55EFF"/>
    <w:rsid w:val="00F56058"/>
    <w:rsid w:val="00F561AD"/>
    <w:rsid w:val="00F56408"/>
    <w:rsid w:val="00F564EF"/>
    <w:rsid w:val="00F5670F"/>
    <w:rsid w:val="00F567BE"/>
    <w:rsid w:val="00F567EF"/>
    <w:rsid w:val="00F569FE"/>
    <w:rsid w:val="00F56C01"/>
    <w:rsid w:val="00F56DB9"/>
    <w:rsid w:val="00F573A9"/>
    <w:rsid w:val="00F573E5"/>
    <w:rsid w:val="00F57524"/>
    <w:rsid w:val="00F57593"/>
    <w:rsid w:val="00F57620"/>
    <w:rsid w:val="00F57772"/>
    <w:rsid w:val="00F57938"/>
    <w:rsid w:val="00F579D2"/>
    <w:rsid w:val="00F57A0B"/>
    <w:rsid w:val="00F6026B"/>
    <w:rsid w:val="00F60683"/>
    <w:rsid w:val="00F606C6"/>
    <w:rsid w:val="00F60773"/>
    <w:rsid w:val="00F60775"/>
    <w:rsid w:val="00F60782"/>
    <w:rsid w:val="00F607F8"/>
    <w:rsid w:val="00F608D6"/>
    <w:rsid w:val="00F608E9"/>
    <w:rsid w:val="00F60F08"/>
    <w:rsid w:val="00F61313"/>
    <w:rsid w:val="00F6148F"/>
    <w:rsid w:val="00F615AE"/>
    <w:rsid w:val="00F616C1"/>
    <w:rsid w:val="00F6183C"/>
    <w:rsid w:val="00F61AF2"/>
    <w:rsid w:val="00F61B62"/>
    <w:rsid w:val="00F61D4E"/>
    <w:rsid w:val="00F61F56"/>
    <w:rsid w:val="00F620D4"/>
    <w:rsid w:val="00F62252"/>
    <w:rsid w:val="00F6271C"/>
    <w:rsid w:val="00F62A0D"/>
    <w:rsid w:val="00F62C50"/>
    <w:rsid w:val="00F62F59"/>
    <w:rsid w:val="00F6362A"/>
    <w:rsid w:val="00F6371E"/>
    <w:rsid w:val="00F63D8A"/>
    <w:rsid w:val="00F63E9B"/>
    <w:rsid w:val="00F63EF4"/>
    <w:rsid w:val="00F63EFD"/>
    <w:rsid w:val="00F640CE"/>
    <w:rsid w:val="00F640F3"/>
    <w:rsid w:val="00F64200"/>
    <w:rsid w:val="00F64227"/>
    <w:rsid w:val="00F6447D"/>
    <w:rsid w:val="00F6461B"/>
    <w:rsid w:val="00F64C08"/>
    <w:rsid w:val="00F6510C"/>
    <w:rsid w:val="00F65265"/>
    <w:rsid w:val="00F6533B"/>
    <w:rsid w:val="00F6566E"/>
    <w:rsid w:val="00F65A62"/>
    <w:rsid w:val="00F65A89"/>
    <w:rsid w:val="00F65A92"/>
    <w:rsid w:val="00F66188"/>
    <w:rsid w:val="00F664BB"/>
    <w:rsid w:val="00F6657C"/>
    <w:rsid w:val="00F6684D"/>
    <w:rsid w:val="00F66AAE"/>
    <w:rsid w:val="00F66AB0"/>
    <w:rsid w:val="00F66B77"/>
    <w:rsid w:val="00F66CE3"/>
    <w:rsid w:val="00F67233"/>
    <w:rsid w:val="00F6726C"/>
    <w:rsid w:val="00F6777B"/>
    <w:rsid w:val="00F677A4"/>
    <w:rsid w:val="00F6781E"/>
    <w:rsid w:val="00F6795D"/>
    <w:rsid w:val="00F67B9F"/>
    <w:rsid w:val="00F67D78"/>
    <w:rsid w:val="00F67D98"/>
    <w:rsid w:val="00F701FC"/>
    <w:rsid w:val="00F704F2"/>
    <w:rsid w:val="00F707CF"/>
    <w:rsid w:val="00F708A2"/>
    <w:rsid w:val="00F70A08"/>
    <w:rsid w:val="00F70AD9"/>
    <w:rsid w:val="00F70B23"/>
    <w:rsid w:val="00F70CC2"/>
    <w:rsid w:val="00F7133D"/>
    <w:rsid w:val="00F7136F"/>
    <w:rsid w:val="00F713B0"/>
    <w:rsid w:val="00F71652"/>
    <w:rsid w:val="00F71675"/>
    <w:rsid w:val="00F71810"/>
    <w:rsid w:val="00F71825"/>
    <w:rsid w:val="00F71C51"/>
    <w:rsid w:val="00F71C83"/>
    <w:rsid w:val="00F71D74"/>
    <w:rsid w:val="00F7220C"/>
    <w:rsid w:val="00F7222D"/>
    <w:rsid w:val="00F7249B"/>
    <w:rsid w:val="00F725A7"/>
    <w:rsid w:val="00F725BF"/>
    <w:rsid w:val="00F72612"/>
    <w:rsid w:val="00F728CA"/>
    <w:rsid w:val="00F72910"/>
    <w:rsid w:val="00F7294A"/>
    <w:rsid w:val="00F72B3B"/>
    <w:rsid w:val="00F73465"/>
    <w:rsid w:val="00F73472"/>
    <w:rsid w:val="00F735EE"/>
    <w:rsid w:val="00F7361A"/>
    <w:rsid w:val="00F73895"/>
    <w:rsid w:val="00F738C9"/>
    <w:rsid w:val="00F73978"/>
    <w:rsid w:val="00F73B06"/>
    <w:rsid w:val="00F73B33"/>
    <w:rsid w:val="00F73B5D"/>
    <w:rsid w:val="00F73BD9"/>
    <w:rsid w:val="00F74238"/>
    <w:rsid w:val="00F74242"/>
    <w:rsid w:val="00F748F7"/>
    <w:rsid w:val="00F74B5C"/>
    <w:rsid w:val="00F74B7E"/>
    <w:rsid w:val="00F74BB0"/>
    <w:rsid w:val="00F74C5D"/>
    <w:rsid w:val="00F75311"/>
    <w:rsid w:val="00F754FB"/>
    <w:rsid w:val="00F75576"/>
    <w:rsid w:val="00F75B19"/>
    <w:rsid w:val="00F75BEF"/>
    <w:rsid w:val="00F75D41"/>
    <w:rsid w:val="00F75DC0"/>
    <w:rsid w:val="00F75EAC"/>
    <w:rsid w:val="00F75FE0"/>
    <w:rsid w:val="00F76008"/>
    <w:rsid w:val="00F760BC"/>
    <w:rsid w:val="00F76189"/>
    <w:rsid w:val="00F76497"/>
    <w:rsid w:val="00F76B57"/>
    <w:rsid w:val="00F76D61"/>
    <w:rsid w:val="00F77035"/>
    <w:rsid w:val="00F770A6"/>
    <w:rsid w:val="00F7711F"/>
    <w:rsid w:val="00F771F2"/>
    <w:rsid w:val="00F77206"/>
    <w:rsid w:val="00F773DA"/>
    <w:rsid w:val="00F77591"/>
    <w:rsid w:val="00F775A5"/>
    <w:rsid w:val="00F77934"/>
    <w:rsid w:val="00F77B11"/>
    <w:rsid w:val="00F77B2B"/>
    <w:rsid w:val="00F77DA6"/>
    <w:rsid w:val="00F80116"/>
    <w:rsid w:val="00F8040C"/>
    <w:rsid w:val="00F80447"/>
    <w:rsid w:val="00F80564"/>
    <w:rsid w:val="00F805A9"/>
    <w:rsid w:val="00F806DE"/>
    <w:rsid w:val="00F80784"/>
    <w:rsid w:val="00F807D5"/>
    <w:rsid w:val="00F80806"/>
    <w:rsid w:val="00F809D4"/>
    <w:rsid w:val="00F814EB"/>
    <w:rsid w:val="00F81522"/>
    <w:rsid w:val="00F81E86"/>
    <w:rsid w:val="00F81EF2"/>
    <w:rsid w:val="00F8210B"/>
    <w:rsid w:val="00F8211E"/>
    <w:rsid w:val="00F82120"/>
    <w:rsid w:val="00F8216C"/>
    <w:rsid w:val="00F824BD"/>
    <w:rsid w:val="00F82584"/>
    <w:rsid w:val="00F8266A"/>
    <w:rsid w:val="00F82BDC"/>
    <w:rsid w:val="00F82C44"/>
    <w:rsid w:val="00F82CEF"/>
    <w:rsid w:val="00F82E49"/>
    <w:rsid w:val="00F82F33"/>
    <w:rsid w:val="00F82F39"/>
    <w:rsid w:val="00F83081"/>
    <w:rsid w:val="00F831E0"/>
    <w:rsid w:val="00F8354A"/>
    <w:rsid w:val="00F8370C"/>
    <w:rsid w:val="00F8379D"/>
    <w:rsid w:val="00F83A23"/>
    <w:rsid w:val="00F83B29"/>
    <w:rsid w:val="00F83B88"/>
    <w:rsid w:val="00F83E41"/>
    <w:rsid w:val="00F83F6D"/>
    <w:rsid w:val="00F8412A"/>
    <w:rsid w:val="00F842C8"/>
    <w:rsid w:val="00F842D5"/>
    <w:rsid w:val="00F843A4"/>
    <w:rsid w:val="00F845FF"/>
    <w:rsid w:val="00F846DC"/>
    <w:rsid w:val="00F84BC1"/>
    <w:rsid w:val="00F84D17"/>
    <w:rsid w:val="00F84DC0"/>
    <w:rsid w:val="00F84F49"/>
    <w:rsid w:val="00F85496"/>
    <w:rsid w:val="00F85645"/>
    <w:rsid w:val="00F856FB"/>
    <w:rsid w:val="00F85825"/>
    <w:rsid w:val="00F8599E"/>
    <w:rsid w:val="00F85B00"/>
    <w:rsid w:val="00F85D1B"/>
    <w:rsid w:val="00F8656B"/>
    <w:rsid w:val="00F867B2"/>
    <w:rsid w:val="00F867BA"/>
    <w:rsid w:val="00F867D5"/>
    <w:rsid w:val="00F86E9F"/>
    <w:rsid w:val="00F86F5A"/>
    <w:rsid w:val="00F8700D"/>
    <w:rsid w:val="00F877DF"/>
    <w:rsid w:val="00F8782B"/>
    <w:rsid w:val="00F879B9"/>
    <w:rsid w:val="00F87A12"/>
    <w:rsid w:val="00F87BD9"/>
    <w:rsid w:val="00F87EF4"/>
    <w:rsid w:val="00F90133"/>
    <w:rsid w:val="00F9038D"/>
    <w:rsid w:val="00F90665"/>
    <w:rsid w:val="00F90668"/>
    <w:rsid w:val="00F907E2"/>
    <w:rsid w:val="00F90A72"/>
    <w:rsid w:val="00F90BA1"/>
    <w:rsid w:val="00F91027"/>
    <w:rsid w:val="00F913DC"/>
    <w:rsid w:val="00F91ADB"/>
    <w:rsid w:val="00F91FFD"/>
    <w:rsid w:val="00F920C1"/>
    <w:rsid w:val="00F92100"/>
    <w:rsid w:val="00F921DA"/>
    <w:rsid w:val="00F92612"/>
    <w:rsid w:val="00F9263C"/>
    <w:rsid w:val="00F92701"/>
    <w:rsid w:val="00F928F1"/>
    <w:rsid w:val="00F929D7"/>
    <w:rsid w:val="00F92B49"/>
    <w:rsid w:val="00F92CBF"/>
    <w:rsid w:val="00F92E96"/>
    <w:rsid w:val="00F93132"/>
    <w:rsid w:val="00F9318D"/>
    <w:rsid w:val="00F931A9"/>
    <w:rsid w:val="00F936EA"/>
    <w:rsid w:val="00F93703"/>
    <w:rsid w:val="00F93917"/>
    <w:rsid w:val="00F93949"/>
    <w:rsid w:val="00F9395C"/>
    <w:rsid w:val="00F93A24"/>
    <w:rsid w:val="00F93D65"/>
    <w:rsid w:val="00F940DC"/>
    <w:rsid w:val="00F943B1"/>
    <w:rsid w:val="00F944AE"/>
    <w:rsid w:val="00F944C6"/>
    <w:rsid w:val="00F9461F"/>
    <w:rsid w:val="00F946A0"/>
    <w:rsid w:val="00F948BE"/>
    <w:rsid w:val="00F94D9E"/>
    <w:rsid w:val="00F951E3"/>
    <w:rsid w:val="00F951F1"/>
    <w:rsid w:val="00F95309"/>
    <w:rsid w:val="00F954A2"/>
    <w:rsid w:val="00F955C7"/>
    <w:rsid w:val="00F95683"/>
    <w:rsid w:val="00F9575B"/>
    <w:rsid w:val="00F959A4"/>
    <w:rsid w:val="00F95A57"/>
    <w:rsid w:val="00F95A80"/>
    <w:rsid w:val="00F95CBF"/>
    <w:rsid w:val="00F960A5"/>
    <w:rsid w:val="00F962CC"/>
    <w:rsid w:val="00F962FE"/>
    <w:rsid w:val="00F9633B"/>
    <w:rsid w:val="00F96490"/>
    <w:rsid w:val="00F9694F"/>
    <w:rsid w:val="00F96D5F"/>
    <w:rsid w:val="00F96F7A"/>
    <w:rsid w:val="00F97019"/>
    <w:rsid w:val="00F9713D"/>
    <w:rsid w:val="00F973DC"/>
    <w:rsid w:val="00F97505"/>
    <w:rsid w:val="00F9750C"/>
    <w:rsid w:val="00F97557"/>
    <w:rsid w:val="00F976C6"/>
    <w:rsid w:val="00F97910"/>
    <w:rsid w:val="00F97944"/>
    <w:rsid w:val="00F97A87"/>
    <w:rsid w:val="00F97AF8"/>
    <w:rsid w:val="00F97CF4"/>
    <w:rsid w:val="00F97E02"/>
    <w:rsid w:val="00F97EE3"/>
    <w:rsid w:val="00F97F76"/>
    <w:rsid w:val="00FA00BF"/>
    <w:rsid w:val="00FA0106"/>
    <w:rsid w:val="00FA0380"/>
    <w:rsid w:val="00FA0453"/>
    <w:rsid w:val="00FA0511"/>
    <w:rsid w:val="00FA0A59"/>
    <w:rsid w:val="00FA0A65"/>
    <w:rsid w:val="00FA0AD8"/>
    <w:rsid w:val="00FA0BDE"/>
    <w:rsid w:val="00FA0D49"/>
    <w:rsid w:val="00FA0DCE"/>
    <w:rsid w:val="00FA15D4"/>
    <w:rsid w:val="00FA1622"/>
    <w:rsid w:val="00FA18AF"/>
    <w:rsid w:val="00FA1917"/>
    <w:rsid w:val="00FA203D"/>
    <w:rsid w:val="00FA2099"/>
    <w:rsid w:val="00FA241E"/>
    <w:rsid w:val="00FA2846"/>
    <w:rsid w:val="00FA294F"/>
    <w:rsid w:val="00FA29D2"/>
    <w:rsid w:val="00FA2AD6"/>
    <w:rsid w:val="00FA2B27"/>
    <w:rsid w:val="00FA2BD1"/>
    <w:rsid w:val="00FA30CC"/>
    <w:rsid w:val="00FA30E8"/>
    <w:rsid w:val="00FA322A"/>
    <w:rsid w:val="00FA3232"/>
    <w:rsid w:val="00FA35C9"/>
    <w:rsid w:val="00FA3710"/>
    <w:rsid w:val="00FA3738"/>
    <w:rsid w:val="00FA37D4"/>
    <w:rsid w:val="00FA39FB"/>
    <w:rsid w:val="00FA3ABA"/>
    <w:rsid w:val="00FA3ACC"/>
    <w:rsid w:val="00FA3B70"/>
    <w:rsid w:val="00FA3C04"/>
    <w:rsid w:val="00FA3C53"/>
    <w:rsid w:val="00FA3D8F"/>
    <w:rsid w:val="00FA3FA2"/>
    <w:rsid w:val="00FA4228"/>
    <w:rsid w:val="00FA44AE"/>
    <w:rsid w:val="00FA49FD"/>
    <w:rsid w:val="00FA4ABD"/>
    <w:rsid w:val="00FA4DF8"/>
    <w:rsid w:val="00FA4E88"/>
    <w:rsid w:val="00FA4FA7"/>
    <w:rsid w:val="00FA509B"/>
    <w:rsid w:val="00FA52AB"/>
    <w:rsid w:val="00FA531F"/>
    <w:rsid w:val="00FA5332"/>
    <w:rsid w:val="00FA5478"/>
    <w:rsid w:val="00FA5596"/>
    <w:rsid w:val="00FA5F1D"/>
    <w:rsid w:val="00FA6307"/>
    <w:rsid w:val="00FA633D"/>
    <w:rsid w:val="00FA63E9"/>
    <w:rsid w:val="00FA6635"/>
    <w:rsid w:val="00FA6A2C"/>
    <w:rsid w:val="00FA6A65"/>
    <w:rsid w:val="00FA7034"/>
    <w:rsid w:val="00FA706B"/>
    <w:rsid w:val="00FA70A7"/>
    <w:rsid w:val="00FA714F"/>
    <w:rsid w:val="00FA71F1"/>
    <w:rsid w:val="00FA73D6"/>
    <w:rsid w:val="00FA7454"/>
    <w:rsid w:val="00FA7677"/>
    <w:rsid w:val="00FA7C49"/>
    <w:rsid w:val="00FB000E"/>
    <w:rsid w:val="00FB014F"/>
    <w:rsid w:val="00FB0219"/>
    <w:rsid w:val="00FB057C"/>
    <w:rsid w:val="00FB08BE"/>
    <w:rsid w:val="00FB0BFC"/>
    <w:rsid w:val="00FB0E71"/>
    <w:rsid w:val="00FB0E9B"/>
    <w:rsid w:val="00FB0FBE"/>
    <w:rsid w:val="00FB1106"/>
    <w:rsid w:val="00FB1126"/>
    <w:rsid w:val="00FB16DF"/>
    <w:rsid w:val="00FB17B0"/>
    <w:rsid w:val="00FB192F"/>
    <w:rsid w:val="00FB1B8D"/>
    <w:rsid w:val="00FB1D66"/>
    <w:rsid w:val="00FB1F16"/>
    <w:rsid w:val="00FB212E"/>
    <w:rsid w:val="00FB2258"/>
    <w:rsid w:val="00FB2331"/>
    <w:rsid w:val="00FB23D0"/>
    <w:rsid w:val="00FB243E"/>
    <w:rsid w:val="00FB25F1"/>
    <w:rsid w:val="00FB2894"/>
    <w:rsid w:val="00FB2C78"/>
    <w:rsid w:val="00FB2FA4"/>
    <w:rsid w:val="00FB3158"/>
    <w:rsid w:val="00FB33E4"/>
    <w:rsid w:val="00FB3A10"/>
    <w:rsid w:val="00FB3A9A"/>
    <w:rsid w:val="00FB3CAB"/>
    <w:rsid w:val="00FB3EC3"/>
    <w:rsid w:val="00FB3F50"/>
    <w:rsid w:val="00FB3FF2"/>
    <w:rsid w:val="00FB44B9"/>
    <w:rsid w:val="00FB4819"/>
    <w:rsid w:val="00FB4A34"/>
    <w:rsid w:val="00FB4AD9"/>
    <w:rsid w:val="00FB4B4D"/>
    <w:rsid w:val="00FB4BB5"/>
    <w:rsid w:val="00FB4CDB"/>
    <w:rsid w:val="00FB4EEC"/>
    <w:rsid w:val="00FB4FC2"/>
    <w:rsid w:val="00FB5092"/>
    <w:rsid w:val="00FB5336"/>
    <w:rsid w:val="00FB53B1"/>
    <w:rsid w:val="00FB5493"/>
    <w:rsid w:val="00FB5746"/>
    <w:rsid w:val="00FB5A65"/>
    <w:rsid w:val="00FB5A78"/>
    <w:rsid w:val="00FB5AF3"/>
    <w:rsid w:val="00FB5D35"/>
    <w:rsid w:val="00FB5F33"/>
    <w:rsid w:val="00FB6141"/>
    <w:rsid w:val="00FB61CE"/>
    <w:rsid w:val="00FB626E"/>
    <w:rsid w:val="00FB62A5"/>
    <w:rsid w:val="00FB62E8"/>
    <w:rsid w:val="00FB6660"/>
    <w:rsid w:val="00FB6768"/>
    <w:rsid w:val="00FB6B24"/>
    <w:rsid w:val="00FB6B70"/>
    <w:rsid w:val="00FB6BFD"/>
    <w:rsid w:val="00FB6F02"/>
    <w:rsid w:val="00FB72F0"/>
    <w:rsid w:val="00FB767F"/>
    <w:rsid w:val="00FB78E1"/>
    <w:rsid w:val="00FB79B2"/>
    <w:rsid w:val="00FB7A01"/>
    <w:rsid w:val="00FB7A59"/>
    <w:rsid w:val="00FB7D28"/>
    <w:rsid w:val="00FC0254"/>
    <w:rsid w:val="00FC085D"/>
    <w:rsid w:val="00FC0964"/>
    <w:rsid w:val="00FC0CC2"/>
    <w:rsid w:val="00FC0D55"/>
    <w:rsid w:val="00FC110D"/>
    <w:rsid w:val="00FC11BF"/>
    <w:rsid w:val="00FC128C"/>
    <w:rsid w:val="00FC139C"/>
    <w:rsid w:val="00FC150F"/>
    <w:rsid w:val="00FC1566"/>
    <w:rsid w:val="00FC15B6"/>
    <w:rsid w:val="00FC19B3"/>
    <w:rsid w:val="00FC1A8E"/>
    <w:rsid w:val="00FC1A9D"/>
    <w:rsid w:val="00FC1BBF"/>
    <w:rsid w:val="00FC1FAA"/>
    <w:rsid w:val="00FC22BE"/>
    <w:rsid w:val="00FC22DE"/>
    <w:rsid w:val="00FC22F2"/>
    <w:rsid w:val="00FC2505"/>
    <w:rsid w:val="00FC29C4"/>
    <w:rsid w:val="00FC2BBA"/>
    <w:rsid w:val="00FC2D9C"/>
    <w:rsid w:val="00FC2ED3"/>
    <w:rsid w:val="00FC3096"/>
    <w:rsid w:val="00FC3468"/>
    <w:rsid w:val="00FC3485"/>
    <w:rsid w:val="00FC34E8"/>
    <w:rsid w:val="00FC35CC"/>
    <w:rsid w:val="00FC390B"/>
    <w:rsid w:val="00FC3AC3"/>
    <w:rsid w:val="00FC3BD6"/>
    <w:rsid w:val="00FC3C63"/>
    <w:rsid w:val="00FC3CA7"/>
    <w:rsid w:val="00FC3DDD"/>
    <w:rsid w:val="00FC40EB"/>
    <w:rsid w:val="00FC425E"/>
    <w:rsid w:val="00FC42D6"/>
    <w:rsid w:val="00FC4434"/>
    <w:rsid w:val="00FC44E8"/>
    <w:rsid w:val="00FC4584"/>
    <w:rsid w:val="00FC4631"/>
    <w:rsid w:val="00FC4637"/>
    <w:rsid w:val="00FC473C"/>
    <w:rsid w:val="00FC4AF3"/>
    <w:rsid w:val="00FC4BD8"/>
    <w:rsid w:val="00FC4C5F"/>
    <w:rsid w:val="00FC4E43"/>
    <w:rsid w:val="00FC4F46"/>
    <w:rsid w:val="00FC5275"/>
    <w:rsid w:val="00FC5336"/>
    <w:rsid w:val="00FC555F"/>
    <w:rsid w:val="00FC5B48"/>
    <w:rsid w:val="00FC5BF2"/>
    <w:rsid w:val="00FC5D36"/>
    <w:rsid w:val="00FC5E1E"/>
    <w:rsid w:val="00FC611D"/>
    <w:rsid w:val="00FC65D1"/>
    <w:rsid w:val="00FC660A"/>
    <w:rsid w:val="00FC6A09"/>
    <w:rsid w:val="00FC6B66"/>
    <w:rsid w:val="00FC6D13"/>
    <w:rsid w:val="00FC6DC6"/>
    <w:rsid w:val="00FC6E78"/>
    <w:rsid w:val="00FC6F14"/>
    <w:rsid w:val="00FC736F"/>
    <w:rsid w:val="00FC740E"/>
    <w:rsid w:val="00FC7999"/>
    <w:rsid w:val="00FC7BF7"/>
    <w:rsid w:val="00FC7CD2"/>
    <w:rsid w:val="00FC7DD0"/>
    <w:rsid w:val="00FD01E2"/>
    <w:rsid w:val="00FD0773"/>
    <w:rsid w:val="00FD0797"/>
    <w:rsid w:val="00FD0A47"/>
    <w:rsid w:val="00FD0C24"/>
    <w:rsid w:val="00FD138A"/>
    <w:rsid w:val="00FD1644"/>
    <w:rsid w:val="00FD16FB"/>
    <w:rsid w:val="00FD17F4"/>
    <w:rsid w:val="00FD1A53"/>
    <w:rsid w:val="00FD1C58"/>
    <w:rsid w:val="00FD1CC6"/>
    <w:rsid w:val="00FD1D1B"/>
    <w:rsid w:val="00FD1D8E"/>
    <w:rsid w:val="00FD1E03"/>
    <w:rsid w:val="00FD1E61"/>
    <w:rsid w:val="00FD1F59"/>
    <w:rsid w:val="00FD21C9"/>
    <w:rsid w:val="00FD2245"/>
    <w:rsid w:val="00FD24DC"/>
    <w:rsid w:val="00FD253C"/>
    <w:rsid w:val="00FD2556"/>
    <w:rsid w:val="00FD298A"/>
    <w:rsid w:val="00FD2AAB"/>
    <w:rsid w:val="00FD2B0D"/>
    <w:rsid w:val="00FD3009"/>
    <w:rsid w:val="00FD31E2"/>
    <w:rsid w:val="00FD3253"/>
    <w:rsid w:val="00FD33A1"/>
    <w:rsid w:val="00FD3AD6"/>
    <w:rsid w:val="00FD40CB"/>
    <w:rsid w:val="00FD4244"/>
    <w:rsid w:val="00FD44DE"/>
    <w:rsid w:val="00FD44EE"/>
    <w:rsid w:val="00FD476A"/>
    <w:rsid w:val="00FD485D"/>
    <w:rsid w:val="00FD4901"/>
    <w:rsid w:val="00FD4947"/>
    <w:rsid w:val="00FD4E7F"/>
    <w:rsid w:val="00FD4F80"/>
    <w:rsid w:val="00FD51A1"/>
    <w:rsid w:val="00FD53FC"/>
    <w:rsid w:val="00FD5491"/>
    <w:rsid w:val="00FD55B5"/>
    <w:rsid w:val="00FD56AD"/>
    <w:rsid w:val="00FD5922"/>
    <w:rsid w:val="00FD599D"/>
    <w:rsid w:val="00FD59DE"/>
    <w:rsid w:val="00FD5A38"/>
    <w:rsid w:val="00FD5B95"/>
    <w:rsid w:val="00FD5FE9"/>
    <w:rsid w:val="00FD61CC"/>
    <w:rsid w:val="00FD61DC"/>
    <w:rsid w:val="00FD65F6"/>
    <w:rsid w:val="00FD66EF"/>
    <w:rsid w:val="00FD679E"/>
    <w:rsid w:val="00FD6A53"/>
    <w:rsid w:val="00FD6A8F"/>
    <w:rsid w:val="00FD6B96"/>
    <w:rsid w:val="00FD6BCB"/>
    <w:rsid w:val="00FD6C36"/>
    <w:rsid w:val="00FD6C52"/>
    <w:rsid w:val="00FD6D02"/>
    <w:rsid w:val="00FD7153"/>
    <w:rsid w:val="00FD7278"/>
    <w:rsid w:val="00FD729B"/>
    <w:rsid w:val="00FD7742"/>
    <w:rsid w:val="00FD79F4"/>
    <w:rsid w:val="00FD7B0F"/>
    <w:rsid w:val="00FD7B38"/>
    <w:rsid w:val="00FD7C35"/>
    <w:rsid w:val="00FD7D5F"/>
    <w:rsid w:val="00FD7DFA"/>
    <w:rsid w:val="00FD7F47"/>
    <w:rsid w:val="00FE010B"/>
    <w:rsid w:val="00FE0498"/>
    <w:rsid w:val="00FE07B4"/>
    <w:rsid w:val="00FE0A10"/>
    <w:rsid w:val="00FE0B80"/>
    <w:rsid w:val="00FE0B9A"/>
    <w:rsid w:val="00FE0CF1"/>
    <w:rsid w:val="00FE0D4C"/>
    <w:rsid w:val="00FE1170"/>
    <w:rsid w:val="00FE12E6"/>
    <w:rsid w:val="00FE1406"/>
    <w:rsid w:val="00FE14DF"/>
    <w:rsid w:val="00FE176C"/>
    <w:rsid w:val="00FE18E9"/>
    <w:rsid w:val="00FE1D32"/>
    <w:rsid w:val="00FE2189"/>
    <w:rsid w:val="00FE2199"/>
    <w:rsid w:val="00FE21D4"/>
    <w:rsid w:val="00FE26AD"/>
    <w:rsid w:val="00FE2A2B"/>
    <w:rsid w:val="00FE2D07"/>
    <w:rsid w:val="00FE300E"/>
    <w:rsid w:val="00FE30B2"/>
    <w:rsid w:val="00FE3163"/>
    <w:rsid w:val="00FE325B"/>
    <w:rsid w:val="00FE32E5"/>
    <w:rsid w:val="00FE341E"/>
    <w:rsid w:val="00FE3431"/>
    <w:rsid w:val="00FE3B5C"/>
    <w:rsid w:val="00FE3CD3"/>
    <w:rsid w:val="00FE3CE1"/>
    <w:rsid w:val="00FE3D58"/>
    <w:rsid w:val="00FE43A0"/>
    <w:rsid w:val="00FE44D1"/>
    <w:rsid w:val="00FE44F1"/>
    <w:rsid w:val="00FE4600"/>
    <w:rsid w:val="00FE4880"/>
    <w:rsid w:val="00FE4961"/>
    <w:rsid w:val="00FE4FB5"/>
    <w:rsid w:val="00FE5088"/>
    <w:rsid w:val="00FE5261"/>
    <w:rsid w:val="00FE5466"/>
    <w:rsid w:val="00FE561E"/>
    <w:rsid w:val="00FE5730"/>
    <w:rsid w:val="00FE574E"/>
    <w:rsid w:val="00FE57D3"/>
    <w:rsid w:val="00FE59C6"/>
    <w:rsid w:val="00FE5E6B"/>
    <w:rsid w:val="00FE5ED9"/>
    <w:rsid w:val="00FE623E"/>
    <w:rsid w:val="00FE6700"/>
    <w:rsid w:val="00FE6702"/>
    <w:rsid w:val="00FE6756"/>
    <w:rsid w:val="00FE6962"/>
    <w:rsid w:val="00FE6B30"/>
    <w:rsid w:val="00FE6C0F"/>
    <w:rsid w:val="00FE6E58"/>
    <w:rsid w:val="00FE6E6D"/>
    <w:rsid w:val="00FE6F99"/>
    <w:rsid w:val="00FE7260"/>
    <w:rsid w:val="00FE75AC"/>
    <w:rsid w:val="00FE7785"/>
    <w:rsid w:val="00FE7A45"/>
    <w:rsid w:val="00FE7B4E"/>
    <w:rsid w:val="00FE7B56"/>
    <w:rsid w:val="00FE7BFC"/>
    <w:rsid w:val="00FE7D07"/>
    <w:rsid w:val="00FE7E17"/>
    <w:rsid w:val="00FF0267"/>
    <w:rsid w:val="00FF0422"/>
    <w:rsid w:val="00FF057E"/>
    <w:rsid w:val="00FF0CFD"/>
    <w:rsid w:val="00FF1507"/>
    <w:rsid w:val="00FF1572"/>
    <w:rsid w:val="00FF1824"/>
    <w:rsid w:val="00FF1CC1"/>
    <w:rsid w:val="00FF1DCF"/>
    <w:rsid w:val="00FF1FA1"/>
    <w:rsid w:val="00FF2056"/>
    <w:rsid w:val="00FF2182"/>
    <w:rsid w:val="00FF21CF"/>
    <w:rsid w:val="00FF2615"/>
    <w:rsid w:val="00FF264C"/>
    <w:rsid w:val="00FF26FC"/>
    <w:rsid w:val="00FF277B"/>
    <w:rsid w:val="00FF2BB5"/>
    <w:rsid w:val="00FF2C07"/>
    <w:rsid w:val="00FF2C8F"/>
    <w:rsid w:val="00FF2DD7"/>
    <w:rsid w:val="00FF34F7"/>
    <w:rsid w:val="00FF3765"/>
    <w:rsid w:val="00FF3855"/>
    <w:rsid w:val="00FF39CB"/>
    <w:rsid w:val="00FF39DB"/>
    <w:rsid w:val="00FF3B5F"/>
    <w:rsid w:val="00FF3E7E"/>
    <w:rsid w:val="00FF40B7"/>
    <w:rsid w:val="00FF42D0"/>
    <w:rsid w:val="00FF4958"/>
    <w:rsid w:val="00FF4979"/>
    <w:rsid w:val="00FF4C6A"/>
    <w:rsid w:val="00FF4E75"/>
    <w:rsid w:val="00FF5288"/>
    <w:rsid w:val="00FF536A"/>
    <w:rsid w:val="00FF53BF"/>
    <w:rsid w:val="00FF5582"/>
    <w:rsid w:val="00FF5835"/>
    <w:rsid w:val="00FF5E82"/>
    <w:rsid w:val="00FF5FBC"/>
    <w:rsid w:val="00FF5FF2"/>
    <w:rsid w:val="00FF6112"/>
    <w:rsid w:val="00FF61A9"/>
    <w:rsid w:val="00FF6217"/>
    <w:rsid w:val="00FF621B"/>
    <w:rsid w:val="00FF6264"/>
    <w:rsid w:val="00FF6269"/>
    <w:rsid w:val="00FF6277"/>
    <w:rsid w:val="00FF671F"/>
    <w:rsid w:val="00FF6735"/>
    <w:rsid w:val="00FF6873"/>
    <w:rsid w:val="00FF68B7"/>
    <w:rsid w:val="00FF6B9D"/>
    <w:rsid w:val="00FF6C61"/>
    <w:rsid w:val="00FF716F"/>
    <w:rsid w:val="00FF719E"/>
    <w:rsid w:val="00FF728E"/>
    <w:rsid w:val="00FF72CC"/>
    <w:rsid w:val="00FF771D"/>
    <w:rsid w:val="00FF7792"/>
    <w:rsid w:val="00FF7B08"/>
    <w:rsid w:val="00FF7CEE"/>
    <w:rsid w:val="00FF7F41"/>
    <w:rsid w:val="01199313"/>
    <w:rsid w:val="0121A287"/>
    <w:rsid w:val="0128D566"/>
    <w:rsid w:val="0133FFA0"/>
    <w:rsid w:val="0135812B"/>
    <w:rsid w:val="015390DC"/>
    <w:rsid w:val="0175C573"/>
    <w:rsid w:val="018CBAEA"/>
    <w:rsid w:val="019623FA"/>
    <w:rsid w:val="01971419"/>
    <w:rsid w:val="019996A9"/>
    <w:rsid w:val="01A4B752"/>
    <w:rsid w:val="01A5752A"/>
    <w:rsid w:val="01A69657"/>
    <w:rsid w:val="01B6362F"/>
    <w:rsid w:val="01E85AC8"/>
    <w:rsid w:val="020F26A0"/>
    <w:rsid w:val="0210B79D"/>
    <w:rsid w:val="0246BDED"/>
    <w:rsid w:val="0248F683"/>
    <w:rsid w:val="025673C6"/>
    <w:rsid w:val="026DCB68"/>
    <w:rsid w:val="027CFE6D"/>
    <w:rsid w:val="0295D88A"/>
    <w:rsid w:val="02BD8C67"/>
    <w:rsid w:val="02E6130E"/>
    <w:rsid w:val="02F148E7"/>
    <w:rsid w:val="02F9FDD2"/>
    <w:rsid w:val="02FD41D5"/>
    <w:rsid w:val="02FE3CAC"/>
    <w:rsid w:val="030B0CDC"/>
    <w:rsid w:val="03173322"/>
    <w:rsid w:val="0335AC60"/>
    <w:rsid w:val="0338675C"/>
    <w:rsid w:val="034BB8C0"/>
    <w:rsid w:val="035CB080"/>
    <w:rsid w:val="038ACBDC"/>
    <w:rsid w:val="03C03C5D"/>
    <w:rsid w:val="03EBC835"/>
    <w:rsid w:val="040E99C5"/>
    <w:rsid w:val="042889AF"/>
    <w:rsid w:val="042B6E32"/>
    <w:rsid w:val="044E9852"/>
    <w:rsid w:val="045BCFBB"/>
    <w:rsid w:val="045C9D7B"/>
    <w:rsid w:val="04679C57"/>
    <w:rsid w:val="04749373"/>
    <w:rsid w:val="0479A3DE"/>
    <w:rsid w:val="0480719A"/>
    <w:rsid w:val="04C6BEAC"/>
    <w:rsid w:val="04D5123A"/>
    <w:rsid w:val="04F740D4"/>
    <w:rsid w:val="04F89D3A"/>
    <w:rsid w:val="05215C34"/>
    <w:rsid w:val="052C3E91"/>
    <w:rsid w:val="0533F36C"/>
    <w:rsid w:val="054D5C5A"/>
    <w:rsid w:val="0563D8A6"/>
    <w:rsid w:val="058BAE64"/>
    <w:rsid w:val="0591C9CC"/>
    <w:rsid w:val="05C017B1"/>
    <w:rsid w:val="05C33CDA"/>
    <w:rsid w:val="05E10526"/>
    <w:rsid w:val="05ED27BB"/>
    <w:rsid w:val="05FD7896"/>
    <w:rsid w:val="0607F82D"/>
    <w:rsid w:val="066028BF"/>
    <w:rsid w:val="0660DEF3"/>
    <w:rsid w:val="066BEB73"/>
    <w:rsid w:val="067E0906"/>
    <w:rsid w:val="068B52D5"/>
    <w:rsid w:val="06A29EF1"/>
    <w:rsid w:val="06B47E0C"/>
    <w:rsid w:val="06C2EAFD"/>
    <w:rsid w:val="06E0762F"/>
    <w:rsid w:val="06E3A7B3"/>
    <w:rsid w:val="06F915D1"/>
    <w:rsid w:val="07012065"/>
    <w:rsid w:val="0736FFFB"/>
    <w:rsid w:val="0756417D"/>
    <w:rsid w:val="075AE34E"/>
    <w:rsid w:val="075D5BDB"/>
    <w:rsid w:val="0789C0E9"/>
    <w:rsid w:val="07916989"/>
    <w:rsid w:val="0795BB59"/>
    <w:rsid w:val="07A2312C"/>
    <w:rsid w:val="07BDDAFD"/>
    <w:rsid w:val="07D6958C"/>
    <w:rsid w:val="07DB4004"/>
    <w:rsid w:val="07E5294A"/>
    <w:rsid w:val="07F8435C"/>
    <w:rsid w:val="07F88C55"/>
    <w:rsid w:val="07FD9EE9"/>
    <w:rsid w:val="08246A1E"/>
    <w:rsid w:val="082B4D01"/>
    <w:rsid w:val="0836DA63"/>
    <w:rsid w:val="0837970A"/>
    <w:rsid w:val="08483E0B"/>
    <w:rsid w:val="08806A6F"/>
    <w:rsid w:val="08926475"/>
    <w:rsid w:val="08BA3EEF"/>
    <w:rsid w:val="08CAD5C9"/>
    <w:rsid w:val="08E8C00C"/>
    <w:rsid w:val="08EDFA57"/>
    <w:rsid w:val="08F610D6"/>
    <w:rsid w:val="090661EC"/>
    <w:rsid w:val="092CF8B8"/>
    <w:rsid w:val="0956612C"/>
    <w:rsid w:val="0974385D"/>
    <w:rsid w:val="0985686A"/>
    <w:rsid w:val="098B76D1"/>
    <w:rsid w:val="098D02BC"/>
    <w:rsid w:val="098D6F1A"/>
    <w:rsid w:val="098F77AD"/>
    <w:rsid w:val="09A3319F"/>
    <w:rsid w:val="09ABFD0F"/>
    <w:rsid w:val="09B41DFA"/>
    <w:rsid w:val="09BBD48A"/>
    <w:rsid w:val="09C2438B"/>
    <w:rsid w:val="0A1236DF"/>
    <w:rsid w:val="0A466E98"/>
    <w:rsid w:val="0A52F8A5"/>
    <w:rsid w:val="0A5CB0B6"/>
    <w:rsid w:val="0A6D0A73"/>
    <w:rsid w:val="0A944367"/>
    <w:rsid w:val="0AB15A38"/>
    <w:rsid w:val="0AC79959"/>
    <w:rsid w:val="0AD34991"/>
    <w:rsid w:val="0AE48BA0"/>
    <w:rsid w:val="0AE98643"/>
    <w:rsid w:val="0B08E85D"/>
    <w:rsid w:val="0B35E79A"/>
    <w:rsid w:val="0B41F0AF"/>
    <w:rsid w:val="0B5A8962"/>
    <w:rsid w:val="0B79A9DA"/>
    <w:rsid w:val="0B8525AE"/>
    <w:rsid w:val="0BA97236"/>
    <w:rsid w:val="0BA9AFD8"/>
    <w:rsid w:val="0BB59ED8"/>
    <w:rsid w:val="0BBCBDFB"/>
    <w:rsid w:val="0BCAAE4C"/>
    <w:rsid w:val="0BD6BE93"/>
    <w:rsid w:val="0BD8497D"/>
    <w:rsid w:val="0BEEB69C"/>
    <w:rsid w:val="0BF185FC"/>
    <w:rsid w:val="0C08CE20"/>
    <w:rsid w:val="0C0C9F87"/>
    <w:rsid w:val="0C2052F6"/>
    <w:rsid w:val="0C4E9FE0"/>
    <w:rsid w:val="0C60B579"/>
    <w:rsid w:val="0C9CFA26"/>
    <w:rsid w:val="0CB681BD"/>
    <w:rsid w:val="0CD0880A"/>
    <w:rsid w:val="0CD2DBDA"/>
    <w:rsid w:val="0CEC28BC"/>
    <w:rsid w:val="0CF4E17D"/>
    <w:rsid w:val="0CFD8E2D"/>
    <w:rsid w:val="0D025487"/>
    <w:rsid w:val="0D0492F1"/>
    <w:rsid w:val="0D0493B4"/>
    <w:rsid w:val="0D28BD46"/>
    <w:rsid w:val="0D3B765A"/>
    <w:rsid w:val="0D3C3404"/>
    <w:rsid w:val="0D58E631"/>
    <w:rsid w:val="0D883B6D"/>
    <w:rsid w:val="0DA6ACCE"/>
    <w:rsid w:val="0DCC6B04"/>
    <w:rsid w:val="0DD60612"/>
    <w:rsid w:val="0DD96450"/>
    <w:rsid w:val="0DD98F80"/>
    <w:rsid w:val="0DDBB0F9"/>
    <w:rsid w:val="0DEA8C56"/>
    <w:rsid w:val="0DFD8900"/>
    <w:rsid w:val="0E0C2A65"/>
    <w:rsid w:val="0E0EC34C"/>
    <w:rsid w:val="0E116B4A"/>
    <w:rsid w:val="0E126557"/>
    <w:rsid w:val="0E22F00C"/>
    <w:rsid w:val="0E5388F7"/>
    <w:rsid w:val="0E65347E"/>
    <w:rsid w:val="0E6D4015"/>
    <w:rsid w:val="0E6FFF7E"/>
    <w:rsid w:val="0E86D465"/>
    <w:rsid w:val="0EA58473"/>
    <w:rsid w:val="0EA8BE2E"/>
    <w:rsid w:val="0EAF161D"/>
    <w:rsid w:val="0EB19541"/>
    <w:rsid w:val="0ECB24C2"/>
    <w:rsid w:val="0F03996B"/>
    <w:rsid w:val="0F0DC46E"/>
    <w:rsid w:val="0F1338B4"/>
    <w:rsid w:val="0F1B6C5A"/>
    <w:rsid w:val="0F21A97D"/>
    <w:rsid w:val="0F349DC6"/>
    <w:rsid w:val="0F38C8B3"/>
    <w:rsid w:val="0F78726E"/>
    <w:rsid w:val="0F79F225"/>
    <w:rsid w:val="0F85F378"/>
    <w:rsid w:val="0F895A62"/>
    <w:rsid w:val="0F8B01D4"/>
    <w:rsid w:val="0FC26E02"/>
    <w:rsid w:val="0FC3BA38"/>
    <w:rsid w:val="0FFC4A28"/>
    <w:rsid w:val="0FFF212B"/>
    <w:rsid w:val="1057C4B0"/>
    <w:rsid w:val="1060E323"/>
    <w:rsid w:val="107DB37C"/>
    <w:rsid w:val="10AC8C08"/>
    <w:rsid w:val="10B26789"/>
    <w:rsid w:val="10CD63AD"/>
    <w:rsid w:val="10E848A8"/>
    <w:rsid w:val="10F0545A"/>
    <w:rsid w:val="10F4EDB9"/>
    <w:rsid w:val="111710FE"/>
    <w:rsid w:val="1123FCAB"/>
    <w:rsid w:val="1157B19D"/>
    <w:rsid w:val="11584449"/>
    <w:rsid w:val="115B1569"/>
    <w:rsid w:val="1166430F"/>
    <w:rsid w:val="116A9074"/>
    <w:rsid w:val="11724751"/>
    <w:rsid w:val="1176273A"/>
    <w:rsid w:val="11786FAE"/>
    <w:rsid w:val="117DC6A0"/>
    <w:rsid w:val="118B8071"/>
    <w:rsid w:val="11DC321E"/>
    <w:rsid w:val="11E8C904"/>
    <w:rsid w:val="11E8F456"/>
    <w:rsid w:val="11F6A709"/>
    <w:rsid w:val="120444B9"/>
    <w:rsid w:val="1213EADC"/>
    <w:rsid w:val="121727E8"/>
    <w:rsid w:val="121E0EEB"/>
    <w:rsid w:val="1226E9BF"/>
    <w:rsid w:val="122F91D3"/>
    <w:rsid w:val="123EAFB0"/>
    <w:rsid w:val="127E5594"/>
    <w:rsid w:val="129B5503"/>
    <w:rsid w:val="129D68D7"/>
    <w:rsid w:val="12B85159"/>
    <w:rsid w:val="12CBBF93"/>
    <w:rsid w:val="12DB912F"/>
    <w:rsid w:val="12DFA4C8"/>
    <w:rsid w:val="12E56A83"/>
    <w:rsid w:val="12F17F17"/>
    <w:rsid w:val="13065C36"/>
    <w:rsid w:val="1312DE57"/>
    <w:rsid w:val="1320079B"/>
    <w:rsid w:val="1350BD93"/>
    <w:rsid w:val="135DBA18"/>
    <w:rsid w:val="136B40CE"/>
    <w:rsid w:val="138D8DB9"/>
    <w:rsid w:val="13D1C89A"/>
    <w:rsid w:val="13DB1322"/>
    <w:rsid w:val="13EAC75E"/>
    <w:rsid w:val="1403A548"/>
    <w:rsid w:val="140E772B"/>
    <w:rsid w:val="140EABEB"/>
    <w:rsid w:val="140F45DF"/>
    <w:rsid w:val="1419BE80"/>
    <w:rsid w:val="142BA256"/>
    <w:rsid w:val="143D7CBA"/>
    <w:rsid w:val="144E7997"/>
    <w:rsid w:val="14633096"/>
    <w:rsid w:val="14A15984"/>
    <w:rsid w:val="14A20134"/>
    <w:rsid w:val="14A9AC9B"/>
    <w:rsid w:val="14B40972"/>
    <w:rsid w:val="14BCBED2"/>
    <w:rsid w:val="14BE2D7C"/>
    <w:rsid w:val="14C4F68C"/>
    <w:rsid w:val="1512983D"/>
    <w:rsid w:val="1522A8B1"/>
    <w:rsid w:val="153A4744"/>
    <w:rsid w:val="156AA067"/>
    <w:rsid w:val="156C6565"/>
    <w:rsid w:val="1576AE3A"/>
    <w:rsid w:val="158F4ED8"/>
    <w:rsid w:val="159A9171"/>
    <w:rsid w:val="15B047E2"/>
    <w:rsid w:val="15CC18CD"/>
    <w:rsid w:val="15CFE191"/>
    <w:rsid w:val="15D5A875"/>
    <w:rsid w:val="15EABC6C"/>
    <w:rsid w:val="15FC3D61"/>
    <w:rsid w:val="1604A634"/>
    <w:rsid w:val="162B6811"/>
    <w:rsid w:val="16470A75"/>
    <w:rsid w:val="166B6F31"/>
    <w:rsid w:val="166F4BAB"/>
    <w:rsid w:val="16942CB9"/>
    <w:rsid w:val="16CDCC43"/>
    <w:rsid w:val="16D556C2"/>
    <w:rsid w:val="16F86CCE"/>
    <w:rsid w:val="16FC6EDA"/>
    <w:rsid w:val="17094ABF"/>
    <w:rsid w:val="170F5B03"/>
    <w:rsid w:val="17122486"/>
    <w:rsid w:val="174D3A2B"/>
    <w:rsid w:val="1752B758"/>
    <w:rsid w:val="175D26EC"/>
    <w:rsid w:val="176C6E9D"/>
    <w:rsid w:val="179A58E2"/>
    <w:rsid w:val="17A6F894"/>
    <w:rsid w:val="17AC8A2F"/>
    <w:rsid w:val="17FFE56C"/>
    <w:rsid w:val="1803141B"/>
    <w:rsid w:val="1827524E"/>
    <w:rsid w:val="185EBA76"/>
    <w:rsid w:val="18601E90"/>
    <w:rsid w:val="18631506"/>
    <w:rsid w:val="186330A7"/>
    <w:rsid w:val="186359BF"/>
    <w:rsid w:val="18793EDF"/>
    <w:rsid w:val="18B12F4D"/>
    <w:rsid w:val="18C4ADDF"/>
    <w:rsid w:val="19045AB4"/>
    <w:rsid w:val="19097D0C"/>
    <w:rsid w:val="1911873D"/>
    <w:rsid w:val="193D28DD"/>
    <w:rsid w:val="19637CF3"/>
    <w:rsid w:val="1992EE7F"/>
    <w:rsid w:val="199B52B2"/>
    <w:rsid w:val="19AC1B3C"/>
    <w:rsid w:val="19BEAFD3"/>
    <w:rsid w:val="19CA10DF"/>
    <w:rsid w:val="19D28512"/>
    <w:rsid w:val="19FCC3F5"/>
    <w:rsid w:val="1A1628EA"/>
    <w:rsid w:val="1A224B98"/>
    <w:rsid w:val="1A22FC65"/>
    <w:rsid w:val="1A2373A2"/>
    <w:rsid w:val="1A2B688D"/>
    <w:rsid w:val="1A33D0D4"/>
    <w:rsid w:val="1A46E699"/>
    <w:rsid w:val="1A4B79E0"/>
    <w:rsid w:val="1A6F7381"/>
    <w:rsid w:val="1A8A640D"/>
    <w:rsid w:val="1A97A7C1"/>
    <w:rsid w:val="1AB60569"/>
    <w:rsid w:val="1AC4E608"/>
    <w:rsid w:val="1AEE480F"/>
    <w:rsid w:val="1AEF46D8"/>
    <w:rsid w:val="1B064BBD"/>
    <w:rsid w:val="1B0B39F8"/>
    <w:rsid w:val="1B2F07D9"/>
    <w:rsid w:val="1B7EF54C"/>
    <w:rsid w:val="1B80AFC6"/>
    <w:rsid w:val="1B8A06A3"/>
    <w:rsid w:val="1BB2E684"/>
    <w:rsid w:val="1BFB8B8E"/>
    <w:rsid w:val="1BFB99FE"/>
    <w:rsid w:val="1C2475EE"/>
    <w:rsid w:val="1C279A40"/>
    <w:rsid w:val="1C3F4CD0"/>
    <w:rsid w:val="1C67C5DB"/>
    <w:rsid w:val="1C724119"/>
    <w:rsid w:val="1C790BDA"/>
    <w:rsid w:val="1C83A73A"/>
    <w:rsid w:val="1CA63CF0"/>
    <w:rsid w:val="1CA9CF0F"/>
    <w:rsid w:val="1CAE9476"/>
    <w:rsid w:val="1CD05BE1"/>
    <w:rsid w:val="1CD6CE2D"/>
    <w:rsid w:val="1CDEF852"/>
    <w:rsid w:val="1CF5BE4F"/>
    <w:rsid w:val="1D2C1C33"/>
    <w:rsid w:val="1D4A8DE2"/>
    <w:rsid w:val="1D501938"/>
    <w:rsid w:val="1D52B9D4"/>
    <w:rsid w:val="1D674376"/>
    <w:rsid w:val="1D8000B8"/>
    <w:rsid w:val="1D945FB5"/>
    <w:rsid w:val="1DC44B82"/>
    <w:rsid w:val="1DC5B7F9"/>
    <w:rsid w:val="1DC6E7D5"/>
    <w:rsid w:val="1DCB9AF7"/>
    <w:rsid w:val="1DE0D746"/>
    <w:rsid w:val="1DE829C1"/>
    <w:rsid w:val="1DF4458E"/>
    <w:rsid w:val="1DFF0C47"/>
    <w:rsid w:val="1E015C9E"/>
    <w:rsid w:val="1E1E26BC"/>
    <w:rsid w:val="1E3D7931"/>
    <w:rsid w:val="1E43F98C"/>
    <w:rsid w:val="1E57942F"/>
    <w:rsid w:val="1E5D624B"/>
    <w:rsid w:val="1E8E28B8"/>
    <w:rsid w:val="1E93F997"/>
    <w:rsid w:val="1EA7DFC0"/>
    <w:rsid w:val="1EC199B2"/>
    <w:rsid w:val="1EC5F549"/>
    <w:rsid w:val="1ED92CCF"/>
    <w:rsid w:val="1EED80B9"/>
    <w:rsid w:val="1EFE08F1"/>
    <w:rsid w:val="1EFEAD3D"/>
    <w:rsid w:val="1F188B4B"/>
    <w:rsid w:val="1F2AB528"/>
    <w:rsid w:val="1F584340"/>
    <w:rsid w:val="1F5CF545"/>
    <w:rsid w:val="1F60B428"/>
    <w:rsid w:val="1F66B756"/>
    <w:rsid w:val="1F6736F0"/>
    <w:rsid w:val="1F8740E7"/>
    <w:rsid w:val="1FAC65E9"/>
    <w:rsid w:val="1FC698B8"/>
    <w:rsid w:val="1FD6442B"/>
    <w:rsid w:val="1FF17627"/>
    <w:rsid w:val="2021DE4C"/>
    <w:rsid w:val="203C3BC3"/>
    <w:rsid w:val="20816CDB"/>
    <w:rsid w:val="209DE0DF"/>
    <w:rsid w:val="209ED61B"/>
    <w:rsid w:val="20A6BBE3"/>
    <w:rsid w:val="20AA4086"/>
    <w:rsid w:val="20EE14D0"/>
    <w:rsid w:val="2119AC4C"/>
    <w:rsid w:val="2123E269"/>
    <w:rsid w:val="2129EFEC"/>
    <w:rsid w:val="2150D59B"/>
    <w:rsid w:val="216A36F2"/>
    <w:rsid w:val="21739D55"/>
    <w:rsid w:val="217486FB"/>
    <w:rsid w:val="2182901F"/>
    <w:rsid w:val="218DA7CA"/>
    <w:rsid w:val="218F3188"/>
    <w:rsid w:val="219E06C4"/>
    <w:rsid w:val="21BCE964"/>
    <w:rsid w:val="21CE6C3C"/>
    <w:rsid w:val="21CF7F1C"/>
    <w:rsid w:val="21DA1451"/>
    <w:rsid w:val="21EA4144"/>
    <w:rsid w:val="21ED8D0D"/>
    <w:rsid w:val="21FACAFE"/>
    <w:rsid w:val="21FD3450"/>
    <w:rsid w:val="221816F3"/>
    <w:rsid w:val="2285EBFA"/>
    <w:rsid w:val="22939C73"/>
    <w:rsid w:val="22A863A7"/>
    <w:rsid w:val="22DB170A"/>
    <w:rsid w:val="22DCB698"/>
    <w:rsid w:val="22DF5E9A"/>
    <w:rsid w:val="22E9C57F"/>
    <w:rsid w:val="230268E1"/>
    <w:rsid w:val="2317D6FD"/>
    <w:rsid w:val="2324CA16"/>
    <w:rsid w:val="232F5199"/>
    <w:rsid w:val="236A7B7A"/>
    <w:rsid w:val="236E7B6A"/>
    <w:rsid w:val="237AD33E"/>
    <w:rsid w:val="238DB778"/>
    <w:rsid w:val="239B01F3"/>
    <w:rsid w:val="23CB7067"/>
    <w:rsid w:val="2412DE0A"/>
    <w:rsid w:val="243331B5"/>
    <w:rsid w:val="24931C9C"/>
    <w:rsid w:val="24A00475"/>
    <w:rsid w:val="24A59736"/>
    <w:rsid w:val="24AC633A"/>
    <w:rsid w:val="24D72EB9"/>
    <w:rsid w:val="24E011D9"/>
    <w:rsid w:val="24EBEF25"/>
    <w:rsid w:val="24F902FF"/>
    <w:rsid w:val="250B33C2"/>
    <w:rsid w:val="2512920A"/>
    <w:rsid w:val="252835CB"/>
    <w:rsid w:val="25324235"/>
    <w:rsid w:val="253F7F7E"/>
    <w:rsid w:val="2548C4CE"/>
    <w:rsid w:val="254E8B92"/>
    <w:rsid w:val="2577920F"/>
    <w:rsid w:val="25E81638"/>
    <w:rsid w:val="25F9289C"/>
    <w:rsid w:val="25F9B7B1"/>
    <w:rsid w:val="264CCC15"/>
    <w:rsid w:val="2653D48C"/>
    <w:rsid w:val="26784FF6"/>
    <w:rsid w:val="2682D781"/>
    <w:rsid w:val="2684EE32"/>
    <w:rsid w:val="2684FE1A"/>
    <w:rsid w:val="26910AC8"/>
    <w:rsid w:val="269439ED"/>
    <w:rsid w:val="26A0B925"/>
    <w:rsid w:val="26A55C4E"/>
    <w:rsid w:val="26B98C62"/>
    <w:rsid w:val="26CDA602"/>
    <w:rsid w:val="26CF3715"/>
    <w:rsid w:val="26E0212F"/>
    <w:rsid w:val="2705A157"/>
    <w:rsid w:val="270F78E7"/>
    <w:rsid w:val="27285B14"/>
    <w:rsid w:val="27349CCE"/>
    <w:rsid w:val="2753F139"/>
    <w:rsid w:val="275BFB6C"/>
    <w:rsid w:val="27638C45"/>
    <w:rsid w:val="2784E1DE"/>
    <w:rsid w:val="2788780C"/>
    <w:rsid w:val="27B694F7"/>
    <w:rsid w:val="27E83EAF"/>
    <w:rsid w:val="27F06C60"/>
    <w:rsid w:val="280E2A19"/>
    <w:rsid w:val="280F9615"/>
    <w:rsid w:val="28211031"/>
    <w:rsid w:val="28440FA5"/>
    <w:rsid w:val="28480E02"/>
    <w:rsid w:val="284823F7"/>
    <w:rsid w:val="284AFD92"/>
    <w:rsid w:val="288D5E82"/>
    <w:rsid w:val="28A7FDC7"/>
    <w:rsid w:val="28B28111"/>
    <w:rsid w:val="28B2DAC0"/>
    <w:rsid w:val="28B4EEF6"/>
    <w:rsid w:val="28B53891"/>
    <w:rsid w:val="28BB1864"/>
    <w:rsid w:val="28BBB578"/>
    <w:rsid w:val="28BFFB1E"/>
    <w:rsid w:val="28CA722D"/>
    <w:rsid w:val="28F4B60A"/>
    <w:rsid w:val="2919A1F3"/>
    <w:rsid w:val="291F3D45"/>
    <w:rsid w:val="29419212"/>
    <w:rsid w:val="294EFB3F"/>
    <w:rsid w:val="2957F379"/>
    <w:rsid w:val="29614938"/>
    <w:rsid w:val="2977CDAD"/>
    <w:rsid w:val="297B4536"/>
    <w:rsid w:val="2995FBCC"/>
    <w:rsid w:val="29C7402A"/>
    <w:rsid w:val="29F17ECC"/>
    <w:rsid w:val="2A12B542"/>
    <w:rsid w:val="2A12C616"/>
    <w:rsid w:val="2A21D870"/>
    <w:rsid w:val="2A360223"/>
    <w:rsid w:val="2A4B5454"/>
    <w:rsid w:val="2A725D1B"/>
    <w:rsid w:val="2A9C4B92"/>
    <w:rsid w:val="2AA402A3"/>
    <w:rsid w:val="2AD2D0A0"/>
    <w:rsid w:val="2AD396C1"/>
    <w:rsid w:val="2AE1FD40"/>
    <w:rsid w:val="2AF72448"/>
    <w:rsid w:val="2B114212"/>
    <w:rsid w:val="2B265F71"/>
    <w:rsid w:val="2B7459A1"/>
    <w:rsid w:val="2B76B50F"/>
    <w:rsid w:val="2B8D78FD"/>
    <w:rsid w:val="2BC0E56D"/>
    <w:rsid w:val="2BDBA411"/>
    <w:rsid w:val="2BE3085F"/>
    <w:rsid w:val="2BF2146D"/>
    <w:rsid w:val="2BF4FE50"/>
    <w:rsid w:val="2BF954C7"/>
    <w:rsid w:val="2C0D0046"/>
    <w:rsid w:val="2C3BC856"/>
    <w:rsid w:val="2C41E2AE"/>
    <w:rsid w:val="2C62D73B"/>
    <w:rsid w:val="2C80644B"/>
    <w:rsid w:val="2CA57E5C"/>
    <w:rsid w:val="2CB4521D"/>
    <w:rsid w:val="2CB8A82F"/>
    <w:rsid w:val="2CC06E7B"/>
    <w:rsid w:val="2CCD884C"/>
    <w:rsid w:val="2D1022F4"/>
    <w:rsid w:val="2D13800E"/>
    <w:rsid w:val="2D22CD2D"/>
    <w:rsid w:val="2D2446DD"/>
    <w:rsid w:val="2D356F82"/>
    <w:rsid w:val="2D3FD039"/>
    <w:rsid w:val="2D45038E"/>
    <w:rsid w:val="2D679E37"/>
    <w:rsid w:val="2D771634"/>
    <w:rsid w:val="2D811EF7"/>
    <w:rsid w:val="2D88156E"/>
    <w:rsid w:val="2E0396EF"/>
    <w:rsid w:val="2E0DA012"/>
    <w:rsid w:val="2E202042"/>
    <w:rsid w:val="2E228CE8"/>
    <w:rsid w:val="2E22E78F"/>
    <w:rsid w:val="2E408255"/>
    <w:rsid w:val="2E806C51"/>
    <w:rsid w:val="2E89E78C"/>
    <w:rsid w:val="2ECD447E"/>
    <w:rsid w:val="2ECF518A"/>
    <w:rsid w:val="2ED7D021"/>
    <w:rsid w:val="2EE503EE"/>
    <w:rsid w:val="2EED728E"/>
    <w:rsid w:val="2F0CEDE5"/>
    <w:rsid w:val="2F1B0E4B"/>
    <w:rsid w:val="2F1B3DB4"/>
    <w:rsid w:val="2F40DE29"/>
    <w:rsid w:val="2F42BC1D"/>
    <w:rsid w:val="2F645375"/>
    <w:rsid w:val="2F659A13"/>
    <w:rsid w:val="2F66503D"/>
    <w:rsid w:val="2F83209C"/>
    <w:rsid w:val="2F998E04"/>
    <w:rsid w:val="2F9F93A2"/>
    <w:rsid w:val="2FB60490"/>
    <w:rsid w:val="2FCD88C7"/>
    <w:rsid w:val="2FD086BE"/>
    <w:rsid w:val="2FDBF0B9"/>
    <w:rsid w:val="3028B2FD"/>
    <w:rsid w:val="305AEFF8"/>
    <w:rsid w:val="305E285C"/>
    <w:rsid w:val="30616587"/>
    <w:rsid w:val="307B2ED2"/>
    <w:rsid w:val="3080D44F"/>
    <w:rsid w:val="308160D7"/>
    <w:rsid w:val="308C0094"/>
    <w:rsid w:val="30B553A2"/>
    <w:rsid w:val="30BEB1DA"/>
    <w:rsid w:val="30C30435"/>
    <w:rsid w:val="30E09838"/>
    <w:rsid w:val="30EB90DB"/>
    <w:rsid w:val="30FD3A8A"/>
    <w:rsid w:val="311212E5"/>
    <w:rsid w:val="3129907D"/>
    <w:rsid w:val="314DEF1B"/>
    <w:rsid w:val="31529E99"/>
    <w:rsid w:val="315E229A"/>
    <w:rsid w:val="3181B9B0"/>
    <w:rsid w:val="318EB8BA"/>
    <w:rsid w:val="319DA2F0"/>
    <w:rsid w:val="31A4E5E9"/>
    <w:rsid w:val="31FCBB87"/>
    <w:rsid w:val="31FF7C48"/>
    <w:rsid w:val="32061566"/>
    <w:rsid w:val="321689A6"/>
    <w:rsid w:val="321CA4B0"/>
    <w:rsid w:val="322090F9"/>
    <w:rsid w:val="32A9533C"/>
    <w:rsid w:val="32C1C47C"/>
    <w:rsid w:val="32C4CEA5"/>
    <w:rsid w:val="32CAE1BA"/>
    <w:rsid w:val="32CD262D"/>
    <w:rsid w:val="32DA748E"/>
    <w:rsid w:val="32ECF033"/>
    <w:rsid w:val="32F0E1EC"/>
    <w:rsid w:val="330D506B"/>
    <w:rsid w:val="33112DE8"/>
    <w:rsid w:val="3314031D"/>
    <w:rsid w:val="33145517"/>
    <w:rsid w:val="33147455"/>
    <w:rsid w:val="331AED62"/>
    <w:rsid w:val="331CE640"/>
    <w:rsid w:val="334BA28E"/>
    <w:rsid w:val="334BD8A1"/>
    <w:rsid w:val="33530BBD"/>
    <w:rsid w:val="335CD98A"/>
    <w:rsid w:val="337EB320"/>
    <w:rsid w:val="338C4391"/>
    <w:rsid w:val="33A5AAF1"/>
    <w:rsid w:val="33B2175D"/>
    <w:rsid w:val="33E442FE"/>
    <w:rsid w:val="33EFDD35"/>
    <w:rsid w:val="33F81C41"/>
    <w:rsid w:val="3405DF58"/>
    <w:rsid w:val="344A4E51"/>
    <w:rsid w:val="3453EBB2"/>
    <w:rsid w:val="34814664"/>
    <w:rsid w:val="348A0C75"/>
    <w:rsid w:val="349A4FF6"/>
    <w:rsid w:val="34A36D92"/>
    <w:rsid w:val="34C29E18"/>
    <w:rsid w:val="34D3728B"/>
    <w:rsid w:val="34E1AE0E"/>
    <w:rsid w:val="34E56C8B"/>
    <w:rsid w:val="35027796"/>
    <w:rsid w:val="3511AD13"/>
    <w:rsid w:val="3515875A"/>
    <w:rsid w:val="354709F9"/>
    <w:rsid w:val="354B1277"/>
    <w:rsid w:val="35544572"/>
    <w:rsid w:val="358593BD"/>
    <w:rsid w:val="359B321D"/>
    <w:rsid w:val="35DCC28E"/>
    <w:rsid w:val="35E07F0F"/>
    <w:rsid w:val="35EC5460"/>
    <w:rsid w:val="3615423B"/>
    <w:rsid w:val="362C7014"/>
    <w:rsid w:val="365DF086"/>
    <w:rsid w:val="36646706"/>
    <w:rsid w:val="368CAF93"/>
    <w:rsid w:val="36A0BE46"/>
    <w:rsid w:val="36D1E357"/>
    <w:rsid w:val="370055EF"/>
    <w:rsid w:val="3700E8C1"/>
    <w:rsid w:val="3701EB28"/>
    <w:rsid w:val="37176783"/>
    <w:rsid w:val="37345A2A"/>
    <w:rsid w:val="37399ACF"/>
    <w:rsid w:val="3747762A"/>
    <w:rsid w:val="374C9DCF"/>
    <w:rsid w:val="3797E58A"/>
    <w:rsid w:val="37982459"/>
    <w:rsid w:val="37AF9157"/>
    <w:rsid w:val="37C10F32"/>
    <w:rsid w:val="37DC7444"/>
    <w:rsid w:val="37DDE51F"/>
    <w:rsid w:val="38068E61"/>
    <w:rsid w:val="3817B284"/>
    <w:rsid w:val="381BF98C"/>
    <w:rsid w:val="3829CBD4"/>
    <w:rsid w:val="384DB435"/>
    <w:rsid w:val="3854F499"/>
    <w:rsid w:val="3859D291"/>
    <w:rsid w:val="3861918B"/>
    <w:rsid w:val="3893D3BA"/>
    <w:rsid w:val="3897C260"/>
    <w:rsid w:val="38B13ABC"/>
    <w:rsid w:val="38BD39D4"/>
    <w:rsid w:val="38C3AD5E"/>
    <w:rsid w:val="38CF296E"/>
    <w:rsid w:val="38E51A3E"/>
    <w:rsid w:val="38E60930"/>
    <w:rsid w:val="390F7700"/>
    <w:rsid w:val="392803FF"/>
    <w:rsid w:val="392C69FF"/>
    <w:rsid w:val="392EA984"/>
    <w:rsid w:val="395BFA37"/>
    <w:rsid w:val="39657161"/>
    <w:rsid w:val="3969F7B8"/>
    <w:rsid w:val="397EC20A"/>
    <w:rsid w:val="3987CC4F"/>
    <w:rsid w:val="399C2DBA"/>
    <w:rsid w:val="39CED322"/>
    <w:rsid w:val="39E31B21"/>
    <w:rsid w:val="39E75EE2"/>
    <w:rsid w:val="3A3B5BC1"/>
    <w:rsid w:val="3A451457"/>
    <w:rsid w:val="3A54D23B"/>
    <w:rsid w:val="3A555137"/>
    <w:rsid w:val="3A572FFB"/>
    <w:rsid w:val="3A720C42"/>
    <w:rsid w:val="3A8E85B3"/>
    <w:rsid w:val="3AA613F2"/>
    <w:rsid w:val="3AC1EB25"/>
    <w:rsid w:val="3ADA336F"/>
    <w:rsid w:val="3AE09932"/>
    <w:rsid w:val="3AF553A8"/>
    <w:rsid w:val="3B0A4140"/>
    <w:rsid w:val="3B392AD2"/>
    <w:rsid w:val="3B3C8E70"/>
    <w:rsid w:val="3B44FE36"/>
    <w:rsid w:val="3B5DC32F"/>
    <w:rsid w:val="3B753712"/>
    <w:rsid w:val="3B8C4B4B"/>
    <w:rsid w:val="3B90EBAB"/>
    <w:rsid w:val="3B9E2F75"/>
    <w:rsid w:val="3BAF100F"/>
    <w:rsid w:val="3BB79E15"/>
    <w:rsid w:val="3BECBC6E"/>
    <w:rsid w:val="3C001B68"/>
    <w:rsid w:val="3C0A66F3"/>
    <w:rsid w:val="3C1820BD"/>
    <w:rsid w:val="3C27041B"/>
    <w:rsid w:val="3C326260"/>
    <w:rsid w:val="3C353E60"/>
    <w:rsid w:val="3C3C40BA"/>
    <w:rsid w:val="3C53804C"/>
    <w:rsid w:val="3C88C175"/>
    <w:rsid w:val="3C9E88DE"/>
    <w:rsid w:val="3CA69F7C"/>
    <w:rsid w:val="3CC7F7BC"/>
    <w:rsid w:val="3CD7D667"/>
    <w:rsid w:val="3D050B1D"/>
    <w:rsid w:val="3D7AFD68"/>
    <w:rsid w:val="3DA63633"/>
    <w:rsid w:val="3DAE2307"/>
    <w:rsid w:val="3DB61B12"/>
    <w:rsid w:val="3DCEFF3C"/>
    <w:rsid w:val="3DD3094A"/>
    <w:rsid w:val="3E0E1BEF"/>
    <w:rsid w:val="3E35465B"/>
    <w:rsid w:val="3E36B92C"/>
    <w:rsid w:val="3E427390"/>
    <w:rsid w:val="3E50A35E"/>
    <w:rsid w:val="3E5BB0AE"/>
    <w:rsid w:val="3E69337E"/>
    <w:rsid w:val="3E82FFF2"/>
    <w:rsid w:val="3E89D41D"/>
    <w:rsid w:val="3E9D1B21"/>
    <w:rsid w:val="3EC54862"/>
    <w:rsid w:val="3EDB22F8"/>
    <w:rsid w:val="3EEFD63F"/>
    <w:rsid w:val="3F0273D7"/>
    <w:rsid w:val="3F11A3EA"/>
    <w:rsid w:val="3F66901C"/>
    <w:rsid w:val="3F6C0C4E"/>
    <w:rsid w:val="3F76EB34"/>
    <w:rsid w:val="3F83F233"/>
    <w:rsid w:val="3F8A62C5"/>
    <w:rsid w:val="3FB43283"/>
    <w:rsid w:val="3FC12526"/>
    <w:rsid w:val="3FC5F087"/>
    <w:rsid w:val="3FD9B0F0"/>
    <w:rsid w:val="402A9627"/>
    <w:rsid w:val="403B4514"/>
    <w:rsid w:val="4047D325"/>
    <w:rsid w:val="404AC7FF"/>
    <w:rsid w:val="404DD618"/>
    <w:rsid w:val="405AD5B0"/>
    <w:rsid w:val="4085713A"/>
    <w:rsid w:val="408BF7D2"/>
    <w:rsid w:val="40B1DED1"/>
    <w:rsid w:val="40B93AE9"/>
    <w:rsid w:val="40C72284"/>
    <w:rsid w:val="40D40582"/>
    <w:rsid w:val="40D6CE67"/>
    <w:rsid w:val="40E24F94"/>
    <w:rsid w:val="40E4EA4B"/>
    <w:rsid w:val="40EA9A57"/>
    <w:rsid w:val="41208DDF"/>
    <w:rsid w:val="4127990F"/>
    <w:rsid w:val="412A3DA3"/>
    <w:rsid w:val="413F5071"/>
    <w:rsid w:val="4143CEB1"/>
    <w:rsid w:val="414F5147"/>
    <w:rsid w:val="415C81F1"/>
    <w:rsid w:val="417B0416"/>
    <w:rsid w:val="4193EBE0"/>
    <w:rsid w:val="41963467"/>
    <w:rsid w:val="419778C0"/>
    <w:rsid w:val="41997521"/>
    <w:rsid w:val="41C907AF"/>
    <w:rsid w:val="41E964D6"/>
    <w:rsid w:val="41F0FD7F"/>
    <w:rsid w:val="4225BD01"/>
    <w:rsid w:val="4228B3FF"/>
    <w:rsid w:val="4249D7E2"/>
    <w:rsid w:val="424D2D80"/>
    <w:rsid w:val="424D5732"/>
    <w:rsid w:val="426A28B5"/>
    <w:rsid w:val="427A567B"/>
    <w:rsid w:val="427FA91B"/>
    <w:rsid w:val="429B061B"/>
    <w:rsid w:val="42C48F6E"/>
    <w:rsid w:val="42D8ADC4"/>
    <w:rsid w:val="42DC2515"/>
    <w:rsid w:val="42F8FE3E"/>
    <w:rsid w:val="430D6108"/>
    <w:rsid w:val="43120F3E"/>
    <w:rsid w:val="4373AB85"/>
    <w:rsid w:val="439C789C"/>
    <w:rsid w:val="43AB6114"/>
    <w:rsid w:val="43B8E763"/>
    <w:rsid w:val="43BCC0B1"/>
    <w:rsid w:val="43D42EE0"/>
    <w:rsid w:val="43D49CE5"/>
    <w:rsid w:val="43D66222"/>
    <w:rsid w:val="43E06FD4"/>
    <w:rsid w:val="44046BF9"/>
    <w:rsid w:val="4439C0F5"/>
    <w:rsid w:val="4442B8B7"/>
    <w:rsid w:val="4442D55E"/>
    <w:rsid w:val="444AC693"/>
    <w:rsid w:val="444CE96D"/>
    <w:rsid w:val="445233E4"/>
    <w:rsid w:val="445FFEFE"/>
    <w:rsid w:val="4461A14B"/>
    <w:rsid w:val="44665A16"/>
    <w:rsid w:val="446E2052"/>
    <w:rsid w:val="44726B40"/>
    <w:rsid w:val="447757E1"/>
    <w:rsid w:val="448A0A5C"/>
    <w:rsid w:val="44999440"/>
    <w:rsid w:val="450005C9"/>
    <w:rsid w:val="45029B6A"/>
    <w:rsid w:val="452778DA"/>
    <w:rsid w:val="457E7943"/>
    <w:rsid w:val="4584A78A"/>
    <w:rsid w:val="45894F3E"/>
    <w:rsid w:val="45912518"/>
    <w:rsid w:val="45A0D96D"/>
    <w:rsid w:val="460A97ED"/>
    <w:rsid w:val="46318A3D"/>
    <w:rsid w:val="46332C58"/>
    <w:rsid w:val="4639E8B5"/>
    <w:rsid w:val="463A90E6"/>
    <w:rsid w:val="463BDB9A"/>
    <w:rsid w:val="463CD8B7"/>
    <w:rsid w:val="4641F928"/>
    <w:rsid w:val="465DB314"/>
    <w:rsid w:val="467F775B"/>
    <w:rsid w:val="468AB387"/>
    <w:rsid w:val="469E5EAE"/>
    <w:rsid w:val="46AF8015"/>
    <w:rsid w:val="46B7723E"/>
    <w:rsid w:val="46DDC0C5"/>
    <w:rsid w:val="47114E12"/>
    <w:rsid w:val="471A50A3"/>
    <w:rsid w:val="471CE7F5"/>
    <w:rsid w:val="47506ADA"/>
    <w:rsid w:val="4760A446"/>
    <w:rsid w:val="477DCDCB"/>
    <w:rsid w:val="47987AB3"/>
    <w:rsid w:val="47D06EF5"/>
    <w:rsid w:val="47DA3C6D"/>
    <w:rsid w:val="47DFC5CB"/>
    <w:rsid w:val="47EFD9CE"/>
    <w:rsid w:val="47F89EF6"/>
    <w:rsid w:val="47FE60B3"/>
    <w:rsid w:val="481DF931"/>
    <w:rsid w:val="484DD9CE"/>
    <w:rsid w:val="484F8212"/>
    <w:rsid w:val="485397B3"/>
    <w:rsid w:val="486F8D8D"/>
    <w:rsid w:val="489D1BAE"/>
    <w:rsid w:val="48A4F589"/>
    <w:rsid w:val="48B67FA6"/>
    <w:rsid w:val="48EA0D93"/>
    <w:rsid w:val="490C9BEF"/>
    <w:rsid w:val="491AD397"/>
    <w:rsid w:val="492748ED"/>
    <w:rsid w:val="49364F33"/>
    <w:rsid w:val="4952104E"/>
    <w:rsid w:val="49661D5E"/>
    <w:rsid w:val="49ACC441"/>
    <w:rsid w:val="49CFBC12"/>
    <w:rsid w:val="49DE8B7E"/>
    <w:rsid w:val="4A016015"/>
    <w:rsid w:val="4A3E48E4"/>
    <w:rsid w:val="4AA59FE3"/>
    <w:rsid w:val="4AAF2575"/>
    <w:rsid w:val="4AC9D3E1"/>
    <w:rsid w:val="4AFA9E71"/>
    <w:rsid w:val="4B106861"/>
    <w:rsid w:val="4B114DE7"/>
    <w:rsid w:val="4B3C785E"/>
    <w:rsid w:val="4B5764A3"/>
    <w:rsid w:val="4B64045C"/>
    <w:rsid w:val="4B8E2854"/>
    <w:rsid w:val="4B901213"/>
    <w:rsid w:val="4B97D1BF"/>
    <w:rsid w:val="4B9D4936"/>
    <w:rsid w:val="4BBB503D"/>
    <w:rsid w:val="4BC86FE9"/>
    <w:rsid w:val="4BE62B6F"/>
    <w:rsid w:val="4BFF1D8F"/>
    <w:rsid w:val="4C046E5A"/>
    <w:rsid w:val="4C062B93"/>
    <w:rsid w:val="4C107491"/>
    <w:rsid w:val="4C11E9E7"/>
    <w:rsid w:val="4C30A49C"/>
    <w:rsid w:val="4C7B5DC0"/>
    <w:rsid w:val="4C8D29F0"/>
    <w:rsid w:val="4C94D782"/>
    <w:rsid w:val="4C9F01AD"/>
    <w:rsid w:val="4CA89D0D"/>
    <w:rsid w:val="4CA99FD0"/>
    <w:rsid w:val="4CAC5DD7"/>
    <w:rsid w:val="4CBFFA68"/>
    <w:rsid w:val="4CC06E58"/>
    <w:rsid w:val="4CDDDBB8"/>
    <w:rsid w:val="4CDDDE88"/>
    <w:rsid w:val="4CE8AD6C"/>
    <w:rsid w:val="4CE8C33A"/>
    <w:rsid w:val="4CFB33A1"/>
    <w:rsid w:val="4D1AD275"/>
    <w:rsid w:val="4D1BCFEA"/>
    <w:rsid w:val="4D29A5C0"/>
    <w:rsid w:val="4D43B8D5"/>
    <w:rsid w:val="4D56EA14"/>
    <w:rsid w:val="4D5E1DAF"/>
    <w:rsid w:val="4D64EF10"/>
    <w:rsid w:val="4D743285"/>
    <w:rsid w:val="4D9A8F53"/>
    <w:rsid w:val="4DB6DCB5"/>
    <w:rsid w:val="4E0D2CAF"/>
    <w:rsid w:val="4E13ABF0"/>
    <w:rsid w:val="4E2C777A"/>
    <w:rsid w:val="4E573738"/>
    <w:rsid w:val="4E7F6129"/>
    <w:rsid w:val="4E905E97"/>
    <w:rsid w:val="4EAD7EF8"/>
    <w:rsid w:val="4EBCF91F"/>
    <w:rsid w:val="4EC07598"/>
    <w:rsid w:val="4EC4CA6A"/>
    <w:rsid w:val="4EC62B51"/>
    <w:rsid w:val="4ECAA3FA"/>
    <w:rsid w:val="4EDFCC33"/>
    <w:rsid w:val="4EF0D1D0"/>
    <w:rsid w:val="4F25CF86"/>
    <w:rsid w:val="4F2E317E"/>
    <w:rsid w:val="4F4703DD"/>
    <w:rsid w:val="4F513A9C"/>
    <w:rsid w:val="4F90DF0B"/>
    <w:rsid w:val="4FA0D005"/>
    <w:rsid w:val="4FB6B4A1"/>
    <w:rsid w:val="4FE4DD69"/>
    <w:rsid w:val="4FFAF6DB"/>
    <w:rsid w:val="4FFDFBEE"/>
    <w:rsid w:val="501855DE"/>
    <w:rsid w:val="503CC3BA"/>
    <w:rsid w:val="5051298A"/>
    <w:rsid w:val="5056337E"/>
    <w:rsid w:val="50834EE5"/>
    <w:rsid w:val="50A016DB"/>
    <w:rsid w:val="50B34FC6"/>
    <w:rsid w:val="50C38C1E"/>
    <w:rsid w:val="50D0AC47"/>
    <w:rsid w:val="50F227BC"/>
    <w:rsid w:val="51387AE8"/>
    <w:rsid w:val="513C4CB3"/>
    <w:rsid w:val="5143FF32"/>
    <w:rsid w:val="514A7957"/>
    <w:rsid w:val="514EB890"/>
    <w:rsid w:val="51609612"/>
    <w:rsid w:val="5179D5AE"/>
    <w:rsid w:val="518C6DDF"/>
    <w:rsid w:val="51DF2CBB"/>
    <w:rsid w:val="5203EA88"/>
    <w:rsid w:val="521F7FFE"/>
    <w:rsid w:val="5239C31B"/>
    <w:rsid w:val="52548B7B"/>
    <w:rsid w:val="529E929C"/>
    <w:rsid w:val="52AE52C4"/>
    <w:rsid w:val="52B421BA"/>
    <w:rsid w:val="52C64D3F"/>
    <w:rsid w:val="52D35B75"/>
    <w:rsid w:val="52DC4D6C"/>
    <w:rsid w:val="5316079E"/>
    <w:rsid w:val="532B7460"/>
    <w:rsid w:val="535A2617"/>
    <w:rsid w:val="535F1ED1"/>
    <w:rsid w:val="537CD747"/>
    <w:rsid w:val="538E1302"/>
    <w:rsid w:val="538FDC00"/>
    <w:rsid w:val="5392854D"/>
    <w:rsid w:val="539B7F92"/>
    <w:rsid w:val="53A07B9C"/>
    <w:rsid w:val="53E0F855"/>
    <w:rsid w:val="54051F60"/>
    <w:rsid w:val="540790ED"/>
    <w:rsid w:val="540F71C8"/>
    <w:rsid w:val="54138790"/>
    <w:rsid w:val="541D682B"/>
    <w:rsid w:val="54230D57"/>
    <w:rsid w:val="544C771A"/>
    <w:rsid w:val="544C9CB5"/>
    <w:rsid w:val="544F4174"/>
    <w:rsid w:val="545A7760"/>
    <w:rsid w:val="545BA39A"/>
    <w:rsid w:val="54748348"/>
    <w:rsid w:val="54760008"/>
    <w:rsid w:val="54833FC8"/>
    <w:rsid w:val="5490B66E"/>
    <w:rsid w:val="54BB0BCE"/>
    <w:rsid w:val="54BCEC4B"/>
    <w:rsid w:val="54F3B354"/>
    <w:rsid w:val="54FC2A00"/>
    <w:rsid w:val="54FD0087"/>
    <w:rsid w:val="554DAC91"/>
    <w:rsid w:val="55626777"/>
    <w:rsid w:val="5575897E"/>
    <w:rsid w:val="55A1A771"/>
    <w:rsid w:val="55A7C0F5"/>
    <w:rsid w:val="55AAA4CA"/>
    <w:rsid w:val="55B252CD"/>
    <w:rsid w:val="55C04494"/>
    <w:rsid w:val="55C303B0"/>
    <w:rsid w:val="55CBF8F6"/>
    <w:rsid w:val="55CD47F6"/>
    <w:rsid w:val="55CEB45B"/>
    <w:rsid w:val="55DAF2E5"/>
    <w:rsid w:val="55E729EA"/>
    <w:rsid w:val="55F8645C"/>
    <w:rsid w:val="5620B15D"/>
    <w:rsid w:val="562272BB"/>
    <w:rsid w:val="56299745"/>
    <w:rsid w:val="562E25C3"/>
    <w:rsid w:val="563763FC"/>
    <w:rsid w:val="56522802"/>
    <w:rsid w:val="565949CA"/>
    <w:rsid w:val="56754FEF"/>
    <w:rsid w:val="567C9637"/>
    <w:rsid w:val="56C7192C"/>
    <w:rsid w:val="572FF2B5"/>
    <w:rsid w:val="57808367"/>
    <w:rsid w:val="578C4BF2"/>
    <w:rsid w:val="578FB04B"/>
    <w:rsid w:val="5798A783"/>
    <w:rsid w:val="57A21F86"/>
    <w:rsid w:val="57B4F1C7"/>
    <w:rsid w:val="57BB927F"/>
    <w:rsid w:val="57EC254A"/>
    <w:rsid w:val="57ED9E52"/>
    <w:rsid w:val="57F31C10"/>
    <w:rsid w:val="580BF767"/>
    <w:rsid w:val="583EC452"/>
    <w:rsid w:val="5849D0BF"/>
    <w:rsid w:val="58546E0F"/>
    <w:rsid w:val="587E689D"/>
    <w:rsid w:val="587F6798"/>
    <w:rsid w:val="588C2DCA"/>
    <w:rsid w:val="58AA6CD9"/>
    <w:rsid w:val="58AB5ED8"/>
    <w:rsid w:val="58ACAF79"/>
    <w:rsid w:val="58AD7795"/>
    <w:rsid w:val="58B0A801"/>
    <w:rsid w:val="58D7BE83"/>
    <w:rsid w:val="58DE3978"/>
    <w:rsid w:val="58F6344B"/>
    <w:rsid w:val="58FDC7FD"/>
    <w:rsid w:val="58FF8FAA"/>
    <w:rsid w:val="59114755"/>
    <w:rsid w:val="5930179A"/>
    <w:rsid w:val="59386251"/>
    <w:rsid w:val="59438B74"/>
    <w:rsid w:val="59539274"/>
    <w:rsid w:val="595F8C07"/>
    <w:rsid w:val="5974D35C"/>
    <w:rsid w:val="597FB01F"/>
    <w:rsid w:val="59A33758"/>
    <w:rsid w:val="59B407B6"/>
    <w:rsid w:val="5A1F5890"/>
    <w:rsid w:val="5A292F88"/>
    <w:rsid w:val="5A439645"/>
    <w:rsid w:val="5A45960C"/>
    <w:rsid w:val="5A47D714"/>
    <w:rsid w:val="5A50DB19"/>
    <w:rsid w:val="5A7DED02"/>
    <w:rsid w:val="5A80458E"/>
    <w:rsid w:val="5A8E097C"/>
    <w:rsid w:val="5AA9CA7E"/>
    <w:rsid w:val="5ABF64BD"/>
    <w:rsid w:val="5AC5E3A1"/>
    <w:rsid w:val="5ACB3AB7"/>
    <w:rsid w:val="5AE6043B"/>
    <w:rsid w:val="5AF46D57"/>
    <w:rsid w:val="5AFEAF1D"/>
    <w:rsid w:val="5B0E463B"/>
    <w:rsid w:val="5B261F2E"/>
    <w:rsid w:val="5B34DB70"/>
    <w:rsid w:val="5B46DA85"/>
    <w:rsid w:val="5B46F4ED"/>
    <w:rsid w:val="5B492350"/>
    <w:rsid w:val="5B5EA87B"/>
    <w:rsid w:val="5B6752CB"/>
    <w:rsid w:val="5B720C08"/>
    <w:rsid w:val="5B79A6C5"/>
    <w:rsid w:val="5B916DBF"/>
    <w:rsid w:val="5BA56D1C"/>
    <w:rsid w:val="5BA6C104"/>
    <w:rsid w:val="5BDECAEA"/>
    <w:rsid w:val="5BDF5B4D"/>
    <w:rsid w:val="5C2FA9A0"/>
    <w:rsid w:val="5C336A3B"/>
    <w:rsid w:val="5C357E6B"/>
    <w:rsid w:val="5C5D1046"/>
    <w:rsid w:val="5C78610F"/>
    <w:rsid w:val="5C7B058C"/>
    <w:rsid w:val="5C895999"/>
    <w:rsid w:val="5C8A3244"/>
    <w:rsid w:val="5CBE2AE5"/>
    <w:rsid w:val="5CC7322E"/>
    <w:rsid w:val="5CDA6B31"/>
    <w:rsid w:val="5CDF857E"/>
    <w:rsid w:val="5CF3BB9B"/>
    <w:rsid w:val="5D0BB2B4"/>
    <w:rsid w:val="5D16483D"/>
    <w:rsid w:val="5D27A2FC"/>
    <w:rsid w:val="5D2DDE6F"/>
    <w:rsid w:val="5D5AC034"/>
    <w:rsid w:val="5D760A5E"/>
    <w:rsid w:val="5D8660E4"/>
    <w:rsid w:val="5D8C7981"/>
    <w:rsid w:val="5D8D93C8"/>
    <w:rsid w:val="5D8EFF29"/>
    <w:rsid w:val="5DE9E29C"/>
    <w:rsid w:val="5DF6F4D4"/>
    <w:rsid w:val="5E0F2A83"/>
    <w:rsid w:val="5E192F13"/>
    <w:rsid w:val="5E27781B"/>
    <w:rsid w:val="5E40541D"/>
    <w:rsid w:val="5E463E86"/>
    <w:rsid w:val="5E502A6A"/>
    <w:rsid w:val="5E584867"/>
    <w:rsid w:val="5E74A753"/>
    <w:rsid w:val="5E7DC49E"/>
    <w:rsid w:val="5E7F8687"/>
    <w:rsid w:val="5EAE1763"/>
    <w:rsid w:val="5EBC952B"/>
    <w:rsid w:val="5ED221DB"/>
    <w:rsid w:val="5ED8CB5D"/>
    <w:rsid w:val="5EEF272F"/>
    <w:rsid w:val="5EF41723"/>
    <w:rsid w:val="5EF5B55E"/>
    <w:rsid w:val="5F3520B5"/>
    <w:rsid w:val="5F35E4CA"/>
    <w:rsid w:val="5F54AF65"/>
    <w:rsid w:val="5F8B6E78"/>
    <w:rsid w:val="5F954425"/>
    <w:rsid w:val="5FA0C4C1"/>
    <w:rsid w:val="5FB2244F"/>
    <w:rsid w:val="5FBE7989"/>
    <w:rsid w:val="5FD445B2"/>
    <w:rsid w:val="5FDADDA6"/>
    <w:rsid w:val="5FE4BB2F"/>
    <w:rsid w:val="6000070C"/>
    <w:rsid w:val="6019498A"/>
    <w:rsid w:val="606B2B5A"/>
    <w:rsid w:val="60816EE8"/>
    <w:rsid w:val="60A399C1"/>
    <w:rsid w:val="60AA5573"/>
    <w:rsid w:val="60B0D8E9"/>
    <w:rsid w:val="60B72E0C"/>
    <w:rsid w:val="60BCC669"/>
    <w:rsid w:val="60E59F39"/>
    <w:rsid w:val="611E1057"/>
    <w:rsid w:val="6135ACE9"/>
    <w:rsid w:val="61426311"/>
    <w:rsid w:val="617B91CA"/>
    <w:rsid w:val="617C36D5"/>
    <w:rsid w:val="618B4552"/>
    <w:rsid w:val="6193BBEB"/>
    <w:rsid w:val="61A5C7C9"/>
    <w:rsid w:val="61B44CC8"/>
    <w:rsid w:val="61C726D0"/>
    <w:rsid w:val="61EDB15C"/>
    <w:rsid w:val="61F42BDC"/>
    <w:rsid w:val="61F9A29B"/>
    <w:rsid w:val="62151329"/>
    <w:rsid w:val="6238F01C"/>
    <w:rsid w:val="625E604B"/>
    <w:rsid w:val="626340CF"/>
    <w:rsid w:val="62680570"/>
    <w:rsid w:val="62960E90"/>
    <w:rsid w:val="62A990B8"/>
    <w:rsid w:val="62CD666A"/>
    <w:rsid w:val="62D1813A"/>
    <w:rsid w:val="62D53EC8"/>
    <w:rsid w:val="62FF2DFE"/>
    <w:rsid w:val="63267320"/>
    <w:rsid w:val="63313454"/>
    <w:rsid w:val="6336313F"/>
    <w:rsid w:val="634DE930"/>
    <w:rsid w:val="634EB7C4"/>
    <w:rsid w:val="635F3185"/>
    <w:rsid w:val="635FE5E0"/>
    <w:rsid w:val="639831F2"/>
    <w:rsid w:val="63A44DF0"/>
    <w:rsid w:val="63B75AFB"/>
    <w:rsid w:val="63BB914E"/>
    <w:rsid w:val="63D5E047"/>
    <w:rsid w:val="63DB11AD"/>
    <w:rsid w:val="63DDB415"/>
    <w:rsid w:val="63E494ED"/>
    <w:rsid w:val="63F81BAE"/>
    <w:rsid w:val="640DE78B"/>
    <w:rsid w:val="640F3CBF"/>
    <w:rsid w:val="642AC2EE"/>
    <w:rsid w:val="6453BAD6"/>
    <w:rsid w:val="645D3016"/>
    <w:rsid w:val="646377B9"/>
    <w:rsid w:val="6464CAE6"/>
    <w:rsid w:val="64672CE5"/>
    <w:rsid w:val="648E789A"/>
    <w:rsid w:val="64BECF8F"/>
    <w:rsid w:val="64CCE289"/>
    <w:rsid w:val="64E0B932"/>
    <w:rsid w:val="64E2D68E"/>
    <w:rsid w:val="64E5DC9E"/>
    <w:rsid w:val="650FC488"/>
    <w:rsid w:val="6535540B"/>
    <w:rsid w:val="65375009"/>
    <w:rsid w:val="6577B2EE"/>
    <w:rsid w:val="657BC84A"/>
    <w:rsid w:val="6585317F"/>
    <w:rsid w:val="65D60F76"/>
    <w:rsid w:val="65FC765B"/>
    <w:rsid w:val="6610CD20"/>
    <w:rsid w:val="663A8BC3"/>
    <w:rsid w:val="66615C84"/>
    <w:rsid w:val="66765174"/>
    <w:rsid w:val="6689E458"/>
    <w:rsid w:val="669C5BFA"/>
    <w:rsid w:val="66E7D703"/>
    <w:rsid w:val="66E81242"/>
    <w:rsid w:val="6701BF87"/>
    <w:rsid w:val="67092082"/>
    <w:rsid w:val="672CDBBC"/>
    <w:rsid w:val="672E265F"/>
    <w:rsid w:val="6731A18D"/>
    <w:rsid w:val="6738F77B"/>
    <w:rsid w:val="67656B5E"/>
    <w:rsid w:val="678B1AAB"/>
    <w:rsid w:val="67940402"/>
    <w:rsid w:val="679B5115"/>
    <w:rsid w:val="67B44C53"/>
    <w:rsid w:val="67BBF9DF"/>
    <w:rsid w:val="67DFB1F7"/>
    <w:rsid w:val="67F2CA6F"/>
    <w:rsid w:val="67F52460"/>
    <w:rsid w:val="67F79902"/>
    <w:rsid w:val="6822B392"/>
    <w:rsid w:val="682716B4"/>
    <w:rsid w:val="6829A31A"/>
    <w:rsid w:val="682E04C2"/>
    <w:rsid w:val="68313236"/>
    <w:rsid w:val="683843D2"/>
    <w:rsid w:val="683F2541"/>
    <w:rsid w:val="68526649"/>
    <w:rsid w:val="6895A859"/>
    <w:rsid w:val="6897B889"/>
    <w:rsid w:val="68EBD0CC"/>
    <w:rsid w:val="68EF7DD0"/>
    <w:rsid w:val="69181699"/>
    <w:rsid w:val="692D998A"/>
    <w:rsid w:val="6935D0A0"/>
    <w:rsid w:val="6945F7B5"/>
    <w:rsid w:val="69608598"/>
    <w:rsid w:val="69614AFB"/>
    <w:rsid w:val="697D1022"/>
    <w:rsid w:val="699E503B"/>
    <w:rsid w:val="69E63981"/>
    <w:rsid w:val="69EB6B46"/>
    <w:rsid w:val="69FFF502"/>
    <w:rsid w:val="6A108D66"/>
    <w:rsid w:val="6A12AA0E"/>
    <w:rsid w:val="6A481D6B"/>
    <w:rsid w:val="6A6A51B5"/>
    <w:rsid w:val="6A6EE2C8"/>
    <w:rsid w:val="6A7928A6"/>
    <w:rsid w:val="6ACF7BCA"/>
    <w:rsid w:val="6AED8992"/>
    <w:rsid w:val="6AF47E41"/>
    <w:rsid w:val="6B02560D"/>
    <w:rsid w:val="6B1AEC6E"/>
    <w:rsid w:val="6B224BFD"/>
    <w:rsid w:val="6B4662B5"/>
    <w:rsid w:val="6B512C29"/>
    <w:rsid w:val="6B6401AD"/>
    <w:rsid w:val="6B921602"/>
    <w:rsid w:val="6B952CD3"/>
    <w:rsid w:val="6B98EEA1"/>
    <w:rsid w:val="6BBE9763"/>
    <w:rsid w:val="6BEBA6DE"/>
    <w:rsid w:val="6BF5A8A4"/>
    <w:rsid w:val="6C02EE5B"/>
    <w:rsid w:val="6C21599D"/>
    <w:rsid w:val="6C32C9EB"/>
    <w:rsid w:val="6C33A906"/>
    <w:rsid w:val="6C363172"/>
    <w:rsid w:val="6C5F8E15"/>
    <w:rsid w:val="6C61F50F"/>
    <w:rsid w:val="6C6D08A8"/>
    <w:rsid w:val="6C74776E"/>
    <w:rsid w:val="6C80D77E"/>
    <w:rsid w:val="6C94B552"/>
    <w:rsid w:val="6C967D84"/>
    <w:rsid w:val="6C9E1EE1"/>
    <w:rsid w:val="6CA8C460"/>
    <w:rsid w:val="6CA9E1BB"/>
    <w:rsid w:val="6CF3038D"/>
    <w:rsid w:val="6CF8C600"/>
    <w:rsid w:val="6D19F782"/>
    <w:rsid w:val="6D1C7104"/>
    <w:rsid w:val="6D30FD34"/>
    <w:rsid w:val="6D65BF64"/>
    <w:rsid w:val="6D72C4B2"/>
    <w:rsid w:val="6DB5508C"/>
    <w:rsid w:val="6DC5E1EE"/>
    <w:rsid w:val="6DCD9FF9"/>
    <w:rsid w:val="6DE279E8"/>
    <w:rsid w:val="6E0E8129"/>
    <w:rsid w:val="6E1C8E4F"/>
    <w:rsid w:val="6E23F4CB"/>
    <w:rsid w:val="6E57E9C6"/>
    <w:rsid w:val="6E652726"/>
    <w:rsid w:val="6E78E3DD"/>
    <w:rsid w:val="6E92683E"/>
    <w:rsid w:val="6E984F9F"/>
    <w:rsid w:val="6E98F38E"/>
    <w:rsid w:val="6EA7F5C7"/>
    <w:rsid w:val="6F068693"/>
    <w:rsid w:val="6F4CD807"/>
    <w:rsid w:val="6F511905"/>
    <w:rsid w:val="6F55B1F4"/>
    <w:rsid w:val="6F646A25"/>
    <w:rsid w:val="6F6DABC2"/>
    <w:rsid w:val="6F7E3F65"/>
    <w:rsid w:val="6F9E8E48"/>
    <w:rsid w:val="6FFA0115"/>
    <w:rsid w:val="7011B61E"/>
    <w:rsid w:val="70289454"/>
    <w:rsid w:val="705BB4E3"/>
    <w:rsid w:val="706E9E00"/>
    <w:rsid w:val="70723CE8"/>
    <w:rsid w:val="70C2C062"/>
    <w:rsid w:val="70D9117D"/>
    <w:rsid w:val="70DFD0F7"/>
    <w:rsid w:val="70EB86F5"/>
    <w:rsid w:val="7101BEF6"/>
    <w:rsid w:val="710299BD"/>
    <w:rsid w:val="711175ED"/>
    <w:rsid w:val="71232486"/>
    <w:rsid w:val="7129287E"/>
    <w:rsid w:val="713765AE"/>
    <w:rsid w:val="7160191D"/>
    <w:rsid w:val="717796C1"/>
    <w:rsid w:val="71869096"/>
    <w:rsid w:val="718CFF3E"/>
    <w:rsid w:val="718D437B"/>
    <w:rsid w:val="71CAF3A1"/>
    <w:rsid w:val="71F6BA89"/>
    <w:rsid w:val="720BBDBD"/>
    <w:rsid w:val="72150078"/>
    <w:rsid w:val="7218257F"/>
    <w:rsid w:val="721856F6"/>
    <w:rsid w:val="723BE3CA"/>
    <w:rsid w:val="72602AB7"/>
    <w:rsid w:val="726ED602"/>
    <w:rsid w:val="726F12D6"/>
    <w:rsid w:val="728606F2"/>
    <w:rsid w:val="72A0C8A5"/>
    <w:rsid w:val="72AD1CFF"/>
    <w:rsid w:val="72B26274"/>
    <w:rsid w:val="72C428D8"/>
    <w:rsid w:val="72CDDC9B"/>
    <w:rsid w:val="72D31D20"/>
    <w:rsid w:val="72D73763"/>
    <w:rsid w:val="7336441B"/>
    <w:rsid w:val="7342D156"/>
    <w:rsid w:val="734FADC2"/>
    <w:rsid w:val="7354D647"/>
    <w:rsid w:val="735F6069"/>
    <w:rsid w:val="7391E273"/>
    <w:rsid w:val="73A91759"/>
    <w:rsid w:val="73EA1FB2"/>
    <w:rsid w:val="73F83C21"/>
    <w:rsid w:val="742FA876"/>
    <w:rsid w:val="74349169"/>
    <w:rsid w:val="7442D7B0"/>
    <w:rsid w:val="7446720D"/>
    <w:rsid w:val="7493B010"/>
    <w:rsid w:val="74BF4F1F"/>
    <w:rsid w:val="74C99B79"/>
    <w:rsid w:val="74D8E8BF"/>
    <w:rsid w:val="74E2517E"/>
    <w:rsid w:val="7504FC58"/>
    <w:rsid w:val="750C5E62"/>
    <w:rsid w:val="752EFB33"/>
    <w:rsid w:val="7569CF8C"/>
    <w:rsid w:val="75722A42"/>
    <w:rsid w:val="75A01F21"/>
    <w:rsid w:val="75A142DC"/>
    <w:rsid w:val="75A9F570"/>
    <w:rsid w:val="75B4844B"/>
    <w:rsid w:val="75BAE443"/>
    <w:rsid w:val="75FB0A5B"/>
    <w:rsid w:val="762A618B"/>
    <w:rsid w:val="7646DA4B"/>
    <w:rsid w:val="76AAFB12"/>
    <w:rsid w:val="776224B4"/>
    <w:rsid w:val="77688601"/>
    <w:rsid w:val="776FF355"/>
    <w:rsid w:val="778597B5"/>
    <w:rsid w:val="77A2D874"/>
    <w:rsid w:val="77C76F26"/>
    <w:rsid w:val="77C8AC45"/>
    <w:rsid w:val="77F39E5C"/>
    <w:rsid w:val="781058A2"/>
    <w:rsid w:val="7821FE7C"/>
    <w:rsid w:val="7836C7E8"/>
    <w:rsid w:val="783C9080"/>
    <w:rsid w:val="78706100"/>
    <w:rsid w:val="78BDAD3E"/>
    <w:rsid w:val="78E6DB7D"/>
    <w:rsid w:val="790AE466"/>
    <w:rsid w:val="79134B71"/>
    <w:rsid w:val="792050D0"/>
    <w:rsid w:val="7929994A"/>
    <w:rsid w:val="792CDBB8"/>
    <w:rsid w:val="79323A6D"/>
    <w:rsid w:val="794D4FB5"/>
    <w:rsid w:val="7951D3B9"/>
    <w:rsid w:val="7979FFFC"/>
    <w:rsid w:val="798829F0"/>
    <w:rsid w:val="79907ED9"/>
    <w:rsid w:val="79A3E975"/>
    <w:rsid w:val="7A02A1A4"/>
    <w:rsid w:val="7A04CE2F"/>
    <w:rsid w:val="7A25AA22"/>
    <w:rsid w:val="7A37C1FF"/>
    <w:rsid w:val="7A4156FD"/>
    <w:rsid w:val="7A4BE265"/>
    <w:rsid w:val="7A6A0FFC"/>
    <w:rsid w:val="7AA90B1D"/>
    <w:rsid w:val="7AA91019"/>
    <w:rsid w:val="7AB7AF2C"/>
    <w:rsid w:val="7ABCA5F1"/>
    <w:rsid w:val="7AC2FFC8"/>
    <w:rsid w:val="7AC6C053"/>
    <w:rsid w:val="7AC983AA"/>
    <w:rsid w:val="7ACA39B4"/>
    <w:rsid w:val="7ACC7260"/>
    <w:rsid w:val="7B0D2603"/>
    <w:rsid w:val="7B430FB1"/>
    <w:rsid w:val="7B519302"/>
    <w:rsid w:val="7B765E65"/>
    <w:rsid w:val="7B7F3B64"/>
    <w:rsid w:val="7B8A1AB0"/>
    <w:rsid w:val="7B9FA09E"/>
    <w:rsid w:val="7BB6DD7C"/>
    <w:rsid w:val="7BCD3AA3"/>
    <w:rsid w:val="7BD6483A"/>
    <w:rsid w:val="7BFF1951"/>
    <w:rsid w:val="7C0957C3"/>
    <w:rsid w:val="7C2F12E7"/>
    <w:rsid w:val="7C3558DA"/>
    <w:rsid w:val="7C407699"/>
    <w:rsid w:val="7C825262"/>
    <w:rsid w:val="7C9176ED"/>
    <w:rsid w:val="7CAA4919"/>
    <w:rsid w:val="7CABEB61"/>
    <w:rsid w:val="7CE3A7BE"/>
    <w:rsid w:val="7D0D9CA3"/>
    <w:rsid w:val="7D1797AD"/>
    <w:rsid w:val="7D1CFB1A"/>
    <w:rsid w:val="7D238473"/>
    <w:rsid w:val="7D3FF01E"/>
    <w:rsid w:val="7D586375"/>
    <w:rsid w:val="7D61266B"/>
    <w:rsid w:val="7D6A83AF"/>
    <w:rsid w:val="7DC075C5"/>
    <w:rsid w:val="7DEA3849"/>
    <w:rsid w:val="7E54F86A"/>
    <w:rsid w:val="7E64FD54"/>
    <w:rsid w:val="7E6C19F4"/>
    <w:rsid w:val="7E94656A"/>
    <w:rsid w:val="7EAB76E4"/>
    <w:rsid w:val="7EAECE47"/>
    <w:rsid w:val="7EB5E69E"/>
    <w:rsid w:val="7EBCC025"/>
    <w:rsid w:val="7EE83CE6"/>
    <w:rsid w:val="7F018810"/>
    <w:rsid w:val="7F0AFF06"/>
    <w:rsid w:val="7F149DAA"/>
    <w:rsid w:val="7F259B48"/>
    <w:rsid w:val="7F4C1883"/>
    <w:rsid w:val="7F4D7E36"/>
    <w:rsid w:val="7F537E0A"/>
    <w:rsid w:val="7F732DCD"/>
    <w:rsid w:val="7FB41F12"/>
    <w:rsid w:val="7FBA7E19"/>
    <w:rsid w:val="7FF428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EEC36"/>
  <w15:chartTrackingRefBased/>
  <w15:docId w15:val="{5F08D207-1945-C14F-8D16-B415EE06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472"/>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2E37C3"/>
    <w:pPr>
      <w:keepNext/>
      <w:keepLines/>
      <w:numPr>
        <w:numId w:val="2"/>
      </w:numPr>
      <w:spacing w:before="240" w:line="259" w:lineRule="auto"/>
      <w:outlineLvl w:val="0"/>
    </w:pPr>
    <w:rPr>
      <w:rFonts w:asciiTheme="majorHAnsi" w:eastAsiaTheme="majorEastAsia" w:hAnsiTheme="majorHAnsi" w:cstheme="majorBidi"/>
      <w:color w:val="2F5496" w:themeColor="accent1" w:themeShade="BF"/>
      <w:sz w:val="32"/>
      <w:szCs w:val="32"/>
      <w:lang w:val="en-GB" w:eastAsia="en-US" w:bidi="he-IL"/>
    </w:rPr>
  </w:style>
  <w:style w:type="paragraph" w:styleId="Heading2">
    <w:name w:val="heading 2"/>
    <w:basedOn w:val="Normal"/>
    <w:next w:val="Normal"/>
    <w:link w:val="Heading2Char"/>
    <w:uiPriority w:val="9"/>
    <w:unhideWhenUsed/>
    <w:qFormat/>
    <w:rsid w:val="002E37C3"/>
    <w:pPr>
      <w:keepNext/>
      <w:keepLines/>
      <w:numPr>
        <w:ilvl w:val="1"/>
        <w:numId w:val="2"/>
      </w:numPr>
      <w:spacing w:before="40" w:line="259" w:lineRule="auto"/>
      <w:outlineLvl w:val="1"/>
    </w:pPr>
    <w:rPr>
      <w:rFonts w:asciiTheme="majorHAnsi" w:eastAsiaTheme="majorEastAsia" w:hAnsiTheme="majorHAnsi" w:cstheme="majorBidi"/>
      <w:color w:val="2F5496" w:themeColor="accent1" w:themeShade="BF"/>
      <w:sz w:val="26"/>
      <w:szCs w:val="26"/>
      <w:lang w:val="en-GB" w:eastAsia="en-US" w:bidi="he-IL"/>
    </w:rPr>
  </w:style>
  <w:style w:type="paragraph" w:styleId="Heading3">
    <w:name w:val="heading 3"/>
    <w:basedOn w:val="Normal"/>
    <w:next w:val="Normal"/>
    <w:link w:val="Heading3Char"/>
    <w:uiPriority w:val="9"/>
    <w:unhideWhenUsed/>
    <w:qFormat/>
    <w:rsid w:val="002E37C3"/>
    <w:pPr>
      <w:keepNext/>
      <w:keepLines/>
      <w:numPr>
        <w:ilvl w:val="2"/>
        <w:numId w:val="2"/>
      </w:numPr>
      <w:spacing w:before="40" w:line="259" w:lineRule="auto"/>
      <w:outlineLvl w:val="2"/>
    </w:pPr>
    <w:rPr>
      <w:rFonts w:asciiTheme="majorHAnsi" w:eastAsiaTheme="majorEastAsia" w:hAnsiTheme="majorHAnsi" w:cstheme="majorBidi"/>
      <w:color w:val="1F3763" w:themeColor="accent1" w:themeShade="7F"/>
      <w:lang w:val="en-GB" w:eastAsia="en-US" w:bidi="he-IL"/>
    </w:rPr>
  </w:style>
  <w:style w:type="paragraph" w:styleId="Heading4">
    <w:name w:val="heading 4"/>
    <w:basedOn w:val="Normal"/>
    <w:next w:val="Normal"/>
    <w:link w:val="Heading4Char"/>
    <w:uiPriority w:val="9"/>
    <w:semiHidden/>
    <w:unhideWhenUsed/>
    <w:qFormat/>
    <w:rsid w:val="00435999"/>
    <w:pPr>
      <w:keepNext/>
      <w:keepLines/>
      <w:numPr>
        <w:ilvl w:val="3"/>
        <w:numId w:val="2"/>
      </w:numPr>
      <w:spacing w:before="40"/>
      <w:outlineLvl w:val="3"/>
    </w:pPr>
    <w:rPr>
      <w:rFonts w:asciiTheme="majorHAnsi" w:eastAsiaTheme="majorEastAsia" w:hAnsiTheme="majorHAnsi" w:cstheme="majorBidi"/>
      <w:i/>
      <w:iCs/>
      <w:color w:val="2F5496" w:themeColor="accent1" w:themeShade="BF"/>
      <w:lang w:val="en-GB"/>
    </w:rPr>
  </w:style>
  <w:style w:type="paragraph" w:styleId="Heading5">
    <w:name w:val="heading 5"/>
    <w:basedOn w:val="Normal"/>
    <w:next w:val="Normal"/>
    <w:link w:val="Heading5Char"/>
    <w:uiPriority w:val="9"/>
    <w:semiHidden/>
    <w:unhideWhenUsed/>
    <w:qFormat/>
    <w:rsid w:val="00435999"/>
    <w:pPr>
      <w:keepNext/>
      <w:keepLines/>
      <w:numPr>
        <w:ilvl w:val="4"/>
        <w:numId w:val="2"/>
      </w:numPr>
      <w:spacing w:before="40"/>
      <w:outlineLvl w:val="4"/>
    </w:pPr>
    <w:rPr>
      <w:rFonts w:asciiTheme="majorHAnsi" w:eastAsiaTheme="majorEastAsia" w:hAnsiTheme="majorHAnsi" w:cstheme="majorBidi"/>
      <w:color w:val="2F5496" w:themeColor="accent1" w:themeShade="BF"/>
      <w:lang w:val="en-GB"/>
    </w:rPr>
  </w:style>
  <w:style w:type="paragraph" w:styleId="Heading6">
    <w:name w:val="heading 6"/>
    <w:basedOn w:val="Normal"/>
    <w:next w:val="Normal"/>
    <w:link w:val="Heading6Char"/>
    <w:uiPriority w:val="9"/>
    <w:semiHidden/>
    <w:unhideWhenUsed/>
    <w:qFormat/>
    <w:rsid w:val="00435999"/>
    <w:pPr>
      <w:keepNext/>
      <w:keepLines/>
      <w:numPr>
        <w:ilvl w:val="5"/>
        <w:numId w:val="2"/>
      </w:numPr>
      <w:spacing w:before="40"/>
      <w:outlineLvl w:val="5"/>
    </w:pPr>
    <w:rPr>
      <w:rFonts w:asciiTheme="majorHAnsi" w:eastAsiaTheme="majorEastAsia" w:hAnsiTheme="majorHAnsi" w:cstheme="majorBidi"/>
      <w:color w:val="1F3763" w:themeColor="accent1" w:themeShade="7F"/>
      <w:lang w:val="en-GB"/>
    </w:rPr>
  </w:style>
  <w:style w:type="paragraph" w:styleId="Heading7">
    <w:name w:val="heading 7"/>
    <w:basedOn w:val="Normal"/>
    <w:next w:val="Normal"/>
    <w:link w:val="Heading7Char"/>
    <w:uiPriority w:val="9"/>
    <w:semiHidden/>
    <w:unhideWhenUsed/>
    <w:qFormat/>
    <w:rsid w:val="00435999"/>
    <w:pPr>
      <w:keepNext/>
      <w:keepLines/>
      <w:numPr>
        <w:ilvl w:val="6"/>
        <w:numId w:val="2"/>
      </w:numPr>
      <w:spacing w:before="40"/>
      <w:outlineLvl w:val="6"/>
    </w:pPr>
    <w:rPr>
      <w:rFonts w:asciiTheme="majorHAnsi" w:eastAsiaTheme="majorEastAsia" w:hAnsiTheme="majorHAnsi" w:cstheme="majorBidi"/>
      <w:i/>
      <w:iCs/>
      <w:color w:val="1F3763" w:themeColor="accent1" w:themeShade="7F"/>
      <w:lang w:val="en-GB"/>
    </w:rPr>
  </w:style>
  <w:style w:type="paragraph" w:styleId="Heading8">
    <w:name w:val="heading 8"/>
    <w:basedOn w:val="Normal"/>
    <w:next w:val="Normal"/>
    <w:link w:val="Heading8Char"/>
    <w:uiPriority w:val="9"/>
    <w:semiHidden/>
    <w:unhideWhenUsed/>
    <w:qFormat/>
    <w:rsid w:val="0043599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43599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333B8"/>
    <w:pPr>
      <w:ind w:left="720"/>
      <w:contextualSpacing/>
    </w:pPr>
    <w:rPr>
      <w:lang w:val="en-GB"/>
    </w:rPr>
  </w:style>
  <w:style w:type="paragraph" w:styleId="Header">
    <w:name w:val="header"/>
    <w:basedOn w:val="Normal"/>
    <w:link w:val="HeaderChar"/>
    <w:uiPriority w:val="99"/>
    <w:unhideWhenUsed/>
    <w:rsid w:val="00EF2427"/>
    <w:pPr>
      <w:tabs>
        <w:tab w:val="center" w:pos="4680"/>
        <w:tab w:val="right" w:pos="9360"/>
      </w:tabs>
    </w:pPr>
    <w:rPr>
      <w:lang w:val="en-GB"/>
    </w:rPr>
  </w:style>
  <w:style w:type="character" w:customStyle="1" w:styleId="HeaderChar">
    <w:name w:val="Header Char"/>
    <w:basedOn w:val="DefaultParagraphFont"/>
    <w:link w:val="Header"/>
    <w:uiPriority w:val="99"/>
    <w:rsid w:val="00EF2427"/>
  </w:style>
  <w:style w:type="paragraph" w:styleId="Footer">
    <w:name w:val="footer"/>
    <w:basedOn w:val="Normal"/>
    <w:link w:val="FooterChar"/>
    <w:uiPriority w:val="99"/>
    <w:unhideWhenUsed/>
    <w:rsid w:val="00EF2427"/>
    <w:pPr>
      <w:tabs>
        <w:tab w:val="center" w:pos="4680"/>
        <w:tab w:val="right" w:pos="9360"/>
      </w:tabs>
    </w:pPr>
    <w:rPr>
      <w:lang w:val="en-GB"/>
    </w:rPr>
  </w:style>
  <w:style w:type="character" w:customStyle="1" w:styleId="FooterChar">
    <w:name w:val="Footer Char"/>
    <w:basedOn w:val="DefaultParagraphFont"/>
    <w:link w:val="Footer"/>
    <w:uiPriority w:val="99"/>
    <w:rsid w:val="00EF2427"/>
  </w:style>
  <w:style w:type="paragraph" w:styleId="Revision">
    <w:name w:val="Revision"/>
    <w:hidden/>
    <w:uiPriority w:val="99"/>
    <w:semiHidden/>
    <w:rsid w:val="00944EDF"/>
    <w:pPr>
      <w:spacing w:after="0" w:line="240" w:lineRule="auto"/>
    </w:pPr>
  </w:style>
  <w:style w:type="character" w:styleId="CommentReference">
    <w:name w:val="annotation reference"/>
    <w:basedOn w:val="DefaultParagraphFont"/>
    <w:uiPriority w:val="99"/>
    <w:semiHidden/>
    <w:unhideWhenUsed/>
    <w:rsid w:val="007D1453"/>
    <w:rPr>
      <w:sz w:val="16"/>
      <w:szCs w:val="16"/>
    </w:rPr>
  </w:style>
  <w:style w:type="paragraph" w:styleId="CommentText">
    <w:name w:val="annotation text"/>
    <w:basedOn w:val="Normal"/>
    <w:link w:val="CommentTextChar"/>
    <w:uiPriority w:val="99"/>
    <w:unhideWhenUsed/>
    <w:rsid w:val="007D1453"/>
    <w:rPr>
      <w:sz w:val="20"/>
      <w:szCs w:val="20"/>
      <w:lang w:val="en-GB"/>
    </w:rPr>
  </w:style>
  <w:style w:type="character" w:customStyle="1" w:styleId="CommentTextChar">
    <w:name w:val="Comment Text Char"/>
    <w:basedOn w:val="DefaultParagraphFont"/>
    <w:link w:val="CommentText"/>
    <w:uiPriority w:val="99"/>
    <w:rsid w:val="007D1453"/>
    <w:rPr>
      <w:sz w:val="20"/>
      <w:szCs w:val="20"/>
    </w:rPr>
  </w:style>
  <w:style w:type="paragraph" w:styleId="CommentSubject">
    <w:name w:val="annotation subject"/>
    <w:basedOn w:val="CommentText"/>
    <w:next w:val="CommentText"/>
    <w:link w:val="CommentSubjectChar"/>
    <w:uiPriority w:val="99"/>
    <w:semiHidden/>
    <w:unhideWhenUsed/>
    <w:rsid w:val="007D1453"/>
    <w:rPr>
      <w:b/>
      <w:bCs/>
    </w:rPr>
  </w:style>
  <w:style w:type="character" w:customStyle="1" w:styleId="CommentSubjectChar">
    <w:name w:val="Comment Subject Char"/>
    <w:basedOn w:val="CommentTextChar"/>
    <w:link w:val="CommentSubject"/>
    <w:uiPriority w:val="99"/>
    <w:semiHidden/>
    <w:rsid w:val="007D1453"/>
    <w:rPr>
      <w:b/>
      <w:bCs/>
      <w:sz w:val="20"/>
      <w:szCs w:val="20"/>
    </w:rPr>
  </w:style>
  <w:style w:type="character" w:styleId="Hyperlink">
    <w:name w:val="Hyperlink"/>
    <w:basedOn w:val="DefaultParagraphFont"/>
    <w:uiPriority w:val="99"/>
    <w:unhideWhenUsed/>
    <w:rsid w:val="00F4150D"/>
    <w:rPr>
      <w:color w:val="0563C1" w:themeColor="hyperlink"/>
      <w:u w:val="single"/>
    </w:rPr>
  </w:style>
  <w:style w:type="character" w:customStyle="1" w:styleId="UnresolvedMention1">
    <w:name w:val="Unresolved Mention1"/>
    <w:basedOn w:val="DefaultParagraphFont"/>
    <w:uiPriority w:val="99"/>
    <w:semiHidden/>
    <w:unhideWhenUsed/>
    <w:rsid w:val="00F4150D"/>
    <w:rPr>
      <w:color w:val="605E5C"/>
      <w:shd w:val="clear" w:color="auto" w:fill="E1DFDD"/>
    </w:rPr>
  </w:style>
  <w:style w:type="table" w:styleId="TableGrid">
    <w:name w:val="Table Grid"/>
    <w:basedOn w:val="TableNormal"/>
    <w:uiPriority w:val="39"/>
    <w:rsid w:val="00976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5536"/>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165536"/>
    <w:rPr>
      <w:rFonts w:ascii="Segoe UI" w:hAnsi="Segoe UI" w:cs="Segoe UI"/>
      <w:sz w:val="18"/>
      <w:szCs w:val="18"/>
    </w:rPr>
  </w:style>
  <w:style w:type="paragraph" w:styleId="NormalWeb">
    <w:name w:val="Normal (Web)"/>
    <w:basedOn w:val="Normal"/>
    <w:uiPriority w:val="99"/>
    <w:unhideWhenUsed/>
    <w:rsid w:val="002D6352"/>
    <w:pPr>
      <w:spacing w:before="100" w:beforeAutospacing="1" w:after="100" w:afterAutospacing="1"/>
    </w:pPr>
    <w:rPr>
      <w:lang w:val="en-GB"/>
    </w:rPr>
  </w:style>
  <w:style w:type="character" w:styleId="Emphasis">
    <w:name w:val="Emphasis"/>
    <w:basedOn w:val="DefaultParagraphFont"/>
    <w:uiPriority w:val="20"/>
    <w:qFormat/>
    <w:rsid w:val="002D6352"/>
    <w:rPr>
      <w:i/>
      <w:iCs/>
    </w:rPr>
  </w:style>
  <w:style w:type="paragraph" w:styleId="FootnoteText">
    <w:name w:val="footnote text"/>
    <w:basedOn w:val="Normal"/>
    <w:link w:val="FootnoteTextChar"/>
    <w:uiPriority w:val="99"/>
    <w:unhideWhenUsed/>
    <w:rsid w:val="004967D5"/>
    <w:rPr>
      <w:sz w:val="20"/>
      <w:szCs w:val="20"/>
      <w:lang w:val="en-GB"/>
    </w:rPr>
  </w:style>
  <w:style w:type="character" w:customStyle="1" w:styleId="FootnoteTextChar">
    <w:name w:val="Footnote Text Char"/>
    <w:basedOn w:val="DefaultParagraphFont"/>
    <w:link w:val="FootnoteText"/>
    <w:uiPriority w:val="99"/>
    <w:rsid w:val="004967D5"/>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4967D5"/>
    <w:rPr>
      <w:vertAlign w:val="superscript"/>
    </w:rPr>
  </w:style>
  <w:style w:type="character" w:customStyle="1" w:styleId="UnresolvedMention2">
    <w:name w:val="Unresolved Mention2"/>
    <w:basedOn w:val="DefaultParagraphFont"/>
    <w:uiPriority w:val="99"/>
    <w:semiHidden/>
    <w:unhideWhenUsed/>
    <w:rsid w:val="00A91658"/>
    <w:rPr>
      <w:color w:val="605E5C"/>
      <w:shd w:val="clear" w:color="auto" w:fill="E1DFDD"/>
    </w:rPr>
  </w:style>
  <w:style w:type="character" w:customStyle="1" w:styleId="Heading1Char">
    <w:name w:val="Heading 1 Char"/>
    <w:basedOn w:val="DefaultParagraphFont"/>
    <w:link w:val="Heading1"/>
    <w:uiPriority w:val="9"/>
    <w:rsid w:val="002E37C3"/>
    <w:rPr>
      <w:rFonts w:asciiTheme="majorHAnsi" w:eastAsiaTheme="majorEastAsia" w:hAnsiTheme="majorHAnsi" w:cstheme="majorBidi"/>
      <w:color w:val="2F5496" w:themeColor="accent1" w:themeShade="BF"/>
      <w:sz w:val="32"/>
      <w:szCs w:val="32"/>
      <w:lang w:val="en-GB" w:eastAsia="en-US" w:bidi="he-IL"/>
    </w:rPr>
  </w:style>
  <w:style w:type="character" w:customStyle="1" w:styleId="Heading2Char">
    <w:name w:val="Heading 2 Char"/>
    <w:basedOn w:val="DefaultParagraphFont"/>
    <w:link w:val="Heading2"/>
    <w:uiPriority w:val="9"/>
    <w:rsid w:val="002E37C3"/>
    <w:rPr>
      <w:rFonts w:asciiTheme="majorHAnsi" w:eastAsiaTheme="majorEastAsia" w:hAnsiTheme="majorHAnsi" w:cstheme="majorBidi"/>
      <w:color w:val="2F5496" w:themeColor="accent1" w:themeShade="BF"/>
      <w:sz w:val="26"/>
      <w:szCs w:val="26"/>
      <w:lang w:val="en-GB" w:eastAsia="en-US" w:bidi="he-IL"/>
    </w:rPr>
  </w:style>
  <w:style w:type="character" w:customStyle="1" w:styleId="Heading3Char">
    <w:name w:val="Heading 3 Char"/>
    <w:basedOn w:val="DefaultParagraphFont"/>
    <w:link w:val="Heading3"/>
    <w:uiPriority w:val="9"/>
    <w:rsid w:val="002E37C3"/>
    <w:rPr>
      <w:rFonts w:asciiTheme="majorHAnsi" w:eastAsiaTheme="majorEastAsia" w:hAnsiTheme="majorHAnsi" w:cstheme="majorBidi"/>
      <w:color w:val="1F3763" w:themeColor="accent1" w:themeShade="7F"/>
      <w:sz w:val="24"/>
      <w:szCs w:val="24"/>
      <w:lang w:val="en-GB" w:eastAsia="en-US" w:bidi="he-IL"/>
    </w:rPr>
  </w:style>
  <w:style w:type="paragraph" w:customStyle="1" w:styleId="Default">
    <w:name w:val="Default"/>
    <w:link w:val="DefaultChar"/>
    <w:rsid w:val="002E37C3"/>
    <w:pPr>
      <w:autoSpaceDE w:val="0"/>
      <w:autoSpaceDN w:val="0"/>
      <w:adjustRightInd w:val="0"/>
      <w:spacing w:after="0" w:line="240" w:lineRule="auto"/>
    </w:pPr>
    <w:rPr>
      <w:rFonts w:ascii="Calibri" w:eastAsiaTheme="minorHAnsi" w:hAnsi="Calibri" w:cs="Calibri"/>
      <w:color w:val="000000"/>
      <w:sz w:val="24"/>
      <w:szCs w:val="24"/>
      <w:lang w:val="en-GB" w:eastAsia="en-US" w:bidi="he-IL"/>
    </w:rPr>
  </w:style>
  <w:style w:type="paragraph" w:styleId="IntenseQuote">
    <w:name w:val="Intense Quote"/>
    <w:basedOn w:val="Normal"/>
    <w:next w:val="Normal"/>
    <w:link w:val="IntenseQuoteChar"/>
    <w:uiPriority w:val="30"/>
    <w:qFormat/>
    <w:rsid w:val="002E37C3"/>
    <w:pPr>
      <w:pBdr>
        <w:top w:val="single" w:sz="4" w:space="10" w:color="4472C4" w:themeColor="accent1"/>
        <w:bottom w:val="single" w:sz="4" w:space="10" w:color="4472C4" w:themeColor="accent1"/>
      </w:pBdr>
      <w:spacing w:before="360" w:after="360" w:line="259" w:lineRule="auto"/>
      <w:ind w:left="864" w:right="864"/>
      <w:jc w:val="center"/>
    </w:pPr>
    <w:rPr>
      <w:rFonts w:asciiTheme="minorHAnsi" w:eastAsiaTheme="minorHAnsi" w:hAnsiTheme="minorHAnsi" w:cstheme="minorBidi"/>
      <w:i/>
      <w:iCs/>
      <w:color w:val="4472C4" w:themeColor="accent1"/>
      <w:sz w:val="22"/>
      <w:szCs w:val="22"/>
      <w:lang w:val="en-GB" w:eastAsia="en-US" w:bidi="he-IL"/>
    </w:rPr>
  </w:style>
  <w:style w:type="character" w:customStyle="1" w:styleId="IntenseQuoteChar">
    <w:name w:val="Intense Quote Char"/>
    <w:basedOn w:val="DefaultParagraphFont"/>
    <w:link w:val="IntenseQuote"/>
    <w:uiPriority w:val="30"/>
    <w:rsid w:val="002E37C3"/>
    <w:rPr>
      <w:rFonts w:eastAsiaTheme="minorHAnsi"/>
      <w:i/>
      <w:iCs/>
      <w:color w:val="4472C4" w:themeColor="accent1"/>
      <w:lang w:val="en-GB" w:eastAsia="en-US" w:bidi="he-IL"/>
    </w:rPr>
  </w:style>
  <w:style w:type="paragraph" w:customStyle="1" w:styleId="TitleUN">
    <w:name w:val="Title UN"/>
    <w:basedOn w:val="ListParagraph"/>
    <w:link w:val="TitleUNChar"/>
    <w:qFormat/>
    <w:rsid w:val="002E37C3"/>
    <w:pPr>
      <w:numPr>
        <w:numId w:val="1"/>
      </w:numPr>
      <w:spacing w:after="160" w:line="259" w:lineRule="auto"/>
    </w:pPr>
    <w:rPr>
      <w:rFonts w:eastAsiaTheme="minorHAnsi"/>
      <w:b/>
      <w:bCs/>
      <w:color w:val="00B0F0"/>
      <w:sz w:val="36"/>
      <w:szCs w:val="36"/>
      <w:lang w:eastAsia="en-US" w:bidi="he-IL"/>
    </w:rPr>
  </w:style>
  <w:style w:type="paragraph" w:customStyle="1" w:styleId="SubtitleUN">
    <w:name w:val="Subtitle UN"/>
    <w:basedOn w:val="Default"/>
    <w:link w:val="SubtitleUNChar"/>
    <w:qFormat/>
    <w:rsid w:val="002E37C3"/>
    <w:pPr>
      <w:jc w:val="both"/>
    </w:pPr>
    <w:rPr>
      <w:rFonts w:cstheme="minorHAnsi"/>
      <w:color w:val="00B0F0"/>
    </w:rPr>
  </w:style>
  <w:style w:type="character" w:customStyle="1" w:styleId="ListParagraphChar">
    <w:name w:val="List Paragraph Char"/>
    <w:basedOn w:val="DefaultParagraphFont"/>
    <w:link w:val="ListParagraph"/>
    <w:uiPriority w:val="34"/>
    <w:rsid w:val="002E37C3"/>
    <w:rPr>
      <w:rFonts w:ascii="Times New Roman" w:eastAsia="Times New Roman" w:hAnsi="Times New Roman" w:cs="Times New Roman"/>
      <w:sz w:val="24"/>
      <w:szCs w:val="24"/>
      <w:lang w:val="en-GB" w:eastAsia="en-GB"/>
    </w:rPr>
  </w:style>
  <w:style w:type="character" w:customStyle="1" w:styleId="TitleUNChar">
    <w:name w:val="Title UN Char"/>
    <w:basedOn w:val="ListParagraphChar"/>
    <w:link w:val="TitleUN"/>
    <w:rsid w:val="002E37C3"/>
    <w:rPr>
      <w:rFonts w:ascii="Times New Roman" w:eastAsiaTheme="minorHAnsi" w:hAnsi="Times New Roman" w:cs="Times New Roman"/>
      <w:b/>
      <w:bCs/>
      <w:color w:val="00B0F0"/>
      <w:sz w:val="36"/>
      <w:szCs w:val="36"/>
      <w:lang w:val="en-GB" w:eastAsia="en-US" w:bidi="he-IL"/>
    </w:rPr>
  </w:style>
  <w:style w:type="paragraph" w:customStyle="1" w:styleId="Titles">
    <w:name w:val="Titles"/>
    <w:basedOn w:val="TitleUN"/>
    <w:link w:val="TitlesChar"/>
    <w:qFormat/>
    <w:rsid w:val="002E37C3"/>
  </w:style>
  <w:style w:type="character" w:customStyle="1" w:styleId="DefaultChar">
    <w:name w:val="Default Char"/>
    <w:basedOn w:val="DefaultParagraphFont"/>
    <w:link w:val="Default"/>
    <w:rsid w:val="002E37C3"/>
    <w:rPr>
      <w:rFonts w:ascii="Calibri" w:eastAsiaTheme="minorHAnsi" w:hAnsi="Calibri" w:cs="Calibri"/>
      <w:color w:val="000000"/>
      <w:sz w:val="24"/>
      <w:szCs w:val="24"/>
      <w:lang w:val="en-GB" w:eastAsia="en-US" w:bidi="he-IL"/>
    </w:rPr>
  </w:style>
  <w:style w:type="character" w:customStyle="1" w:styleId="SubtitleUNChar">
    <w:name w:val="Subtitle UN Char"/>
    <w:basedOn w:val="DefaultChar"/>
    <w:link w:val="SubtitleUN"/>
    <w:rsid w:val="002E37C3"/>
    <w:rPr>
      <w:rFonts w:ascii="Calibri" w:eastAsiaTheme="minorHAnsi" w:hAnsi="Calibri" w:cstheme="minorHAnsi"/>
      <w:color w:val="00B0F0"/>
      <w:sz w:val="24"/>
      <w:szCs w:val="24"/>
      <w:lang w:val="en-GB" w:eastAsia="en-US" w:bidi="he-IL"/>
    </w:rPr>
  </w:style>
  <w:style w:type="paragraph" w:customStyle="1" w:styleId="subtitles">
    <w:name w:val="subtitles"/>
    <w:basedOn w:val="SubtitleUN"/>
    <w:link w:val="subtitlesChar"/>
    <w:qFormat/>
    <w:rsid w:val="002E37C3"/>
    <w:pPr>
      <w:numPr>
        <w:ilvl w:val="1"/>
        <w:numId w:val="1"/>
      </w:numPr>
    </w:pPr>
  </w:style>
  <w:style w:type="character" w:customStyle="1" w:styleId="TitlesChar">
    <w:name w:val="Titles Char"/>
    <w:basedOn w:val="TitleUNChar"/>
    <w:link w:val="Titles"/>
    <w:rsid w:val="002E37C3"/>
    <w:rPr>
      <w:rFonts w:ascii="Times New Roman" w:eastAsiaTheme="minorHAnsi" w:hAnsi="Times New Roman" w:cs="Times New Roman"/>
      <w:b/>
      <w:bCs/>
      <w:color w:val="00B0F0"/>
      <w:sz w:val="36"/>
      <w:szCs w:val="36"/>
      <w:lang w:val="en-GB" w:eastAsia="en-US" w:bidi="he-IL"/>
    </w:rPr>
  </w:style>
  <w:style w:type="paragraph" w:customStyle="1" w:styleId="paragraph">
    <w:name w:val="paragraph"/>
    <w:basedOn w:val="Normal"/>
    <w:link w:val="paragraphChar"/>
    <w:qFormat/>
    <w:rsid w:val="002E37C3"/>
    <w:pPr>
      <w:autoSpaceDE w:val="0"/>
      <w:autoSpaceDN w:val="0"/>
      <w:adjustRightInd w:val="0"/>
      <w:spacing w:after="160"/>
      <w:ind w:left="360"/>
    </w:pPr>
    <w:rPr>
      <w:rFonts w:asciiTheme="minorHAnsi" w:eastAsiaTheme="minorHAnsi" w:hAnsiTheme="minorHAnsi" w:cstheme="minorHAnsi"/>
      <w:color w:val="000000" w:themeColor="text1"/>
      <w:sz w:val="22"/>
      <w:szCs w:val="22"/>
      <w:lang w:val="en-US" w:eastAsia="en-US" w:bidi="he-IL"/>
    </w:rPr>
  </w:style>
  <w:style w:type="character" w:customStyle="1" w:styleId="subtitlesChar">
    <w:name w:val="subtitles Char"/>
    <w:basedOn w:val="SubtitleUNChar"/>
    <w:link w:val="subtitles"/>
    <w:rsid w:val="002E37C3"/>
    <w:rPr>
      <w:rFonts w:ascii="Calibri" w:eastAsiaTheme="minorHAnsi" w:hAnsi="Calibri" w:cstheme="minorHAnsi"/>
      <w:color w:val="00B0F0"/>
      <w:sz w:val="24"/>
      <w:szCs w:val="24"/>
      <w:lang w:val="en-GB" w:eastAsia="en-US" w:bidi="he-IL"/>
    </w:rPr>
  </w:style>
  <w:style w:type="paragraph" w:customStyle="1" w:styleId="sub-subheading">
    <w:name w:val="sub-subheading"/>
    <w:basedOn w:val="Heading3"/>
    <w:link w:val="sub-subheadingChar"/>
    <w:qFormat/>
    <w:rsid w:val="002E37C3"/>
    <w:pPr>
      <w:ind w:hanging="180"/>
    </w:pPr>
    <w:rPr>
      <w:rFonts w:eastAsiaTheme="minorHAnsi" w:cstheme="minorHAnsi"/>
      <w:color w:val="00B0F0"/>
    </w:rPr>
  </w:style>
  <w:style w:type="character" w:customStyle="1" w:styleId="paragraphChar">
    <w:name w:val="paragraph Char"/>
    <w:basedOn w:val="DefaultParagraphFont"/>
    <w:link w:val="paragraph"/>
    <w:rsid w:val="002E37C3"/>
    <w:rPr>
      <w:rFonts w:eastAsiaTheme="minorHAnsi" w:cstheme="minorHAnsi"/>
      <w:color w:val="000000" w:themeColor="text1"/>
      <w:lang w:eastAsia="en-US" w:bidi="he-IL"/>
    </w:rPr>
  </w:style>
  <w:style w:type="character" w:customStyle="1" w:styleId="sub-subheadingChar">
    <w:name w:val="sub-subheading Char"/>
    <w:basedOn w:val="Heading3Char"/>
    <w:link w:val="sub-subheading"/>
    <w:rsid w:val="002E37C3"/>
    <w:rPr>
      <w:rFonts w:asciiTheme="majorHAnsi" w:eastAsiaTheme="minorHAnsi" w:hAnsiTheme="majorHAnsi" w:cstheme="minorHAnsi"/>
      <w:color w:val="00B0F0"/>
      <w:sz w:val="24"/>
      <w:szCs w:val="24"/>
      <w:lang w:val="en-GB" w:eastAsia="en-US" w:bidi="he-IL"/>
    </w:rPr>
  </w:style>
  <w:style w:type="paragraph" w:styleId="TOC3">
    <w:name w:val="toc 3"/>
    <w:next w:val="Normal"/>
    <w:autoRedefine/>
    <w:uiPriority w:val="39"/>
    <w:unhideWhenUsed/>
    <w:rsid w:val="002E37C3"/>
    <w:pPr>
      <w:spacing w:after="0" w:line="240" w:lineRule="auto"/>
      <w:ind w:left="480"/>
    </w:pPr>
    <w:rPr>
      <w:rFonts w:eastAsia="Times New Roman" w:cstheme="minorHAnsi"/>
      <w:sz w:val="20"/>
      <w:szCs w:val="20"/>
      <w:lang w:val="en-GB" w:eastAsia="en-GB"/>
    </w:rPr>
  </w:style>
  <w:style w:type="paragraph" w:styleId="TOC1">
    <w:name w:val="toc 1"/>
    <w:basedOn w:val="Titles"/>
    <w:next w:val="Titles"/>
    <w:autoRedefine/>
    <w:uiPriority w:val="39"/>
    <w:unhideWhenUsed/>
    <w:rsid w:val="004C0F98"/>
    <w:pPr>
      <w:numPr>
        <w:numId w:val="0"/>
      </w:numPr>
      <w:tabs>
        <w:tab w:val="left" w:pos="480"/>
        <w:tab w:val="right" w:leader="dot" w:pos="9629"/>
      </w:tabs>
      <w:spacing w:before="120" w:after="0" w:line="240" w:lineRule="auto"/>
      <w:contextualSpacing w:val="0"/>
    </w:pPr>
    <w:rPr>
      <w:rFonts w:asciiTheme="minorHAnsi" w:eastAsia="Times New Roman" w:hAnsiTheme="minorHAnsi" w:cstheme="minorHAnsi"/>
      <w:i/>
      <w:iCs/>
      <w:color w:val="auto"/>
      <w:sz w:val="24"/>
      <w:szCs w:val="24"/>
      <w:lang w:eastAsia="en-GB" w:bidi="ar-SA"/>
    </w:rPr>
  </w:style>
  <w:style w:type="paragraph" w:styleId="TOC2">
    <w:name w:val="toc 2"/>
    <w:basedOn w:val="subtitles"/>
    <w:next w:val="Normal"/>
    <w:autoRedefine/>
    <w:uiPriority w:val="39"/>
    <w:unhideWhenUsed/>
    <w:rsid w:val="002E37C3"/>
    <w:pPr>
      <w:numPr>
        <w:ilvl w:val="0"/>
        <w:numId w:val="0"/>
      </w:numPr>
      <w:autoSpaceDE/>
      <w:autoSpaceDN/>
      <w:adjustRightInd/>
      <w:spacing w:before="120"/>
      <w:ind w:left="240"/>
      <w:jc w:val="left"/>
    </w:pPr>
    <w:rPr>
      <w:rFonts w:asciiTheme="minorHAnsi" w:eastAsia="Times New Roman" w:hAnsiTheme="minorHAnsi"/>
      <w:b/>
      <w:bCs/>
      <w:color w:val="auto"/>
      <w:sz w:val="22"/>
      <w:szCs w:val="22"/>
      <w:lang w:eastAsia="en-GB" w:bidi="ar-SA"/>
    </w:rPr>
  </w:style>
  <w:style w:type="paragraph" w:styleId="TOCHeading">
    <w:name w:val="TOC Heading"/>
    <w:basedOn w:val="Heading1"/>
    <w:next w:val="Normal"/>
    <w:uiPriority w:val="39"/>
    <w:unhideWhenUsed/>
    <w:qFormat/>
    <w:rsid w:val="002E37C3"/>
    <w:pPr>
      <w:outlineLvl w:val="9"/>
    </w:pPr>
    <w:rPr>
      <w:lang w:val="en-US" w:bidi="ar-SA"/>
    </w:rPr>
  </w:style>
  <w:style w:type="paragraph" w:styleId="TOC4">
    <w:name w:val="toc 4"/>
    <w:basedOn w:val="Normal"/>
    <w:next w:val="Normal"/>
    <w:autoRedefine/>
    <w:uiPriority w:val="39"/>
    <w:unhideWhenUsed/>
    <w:rsid w:val="002E37C3"/>
    <w:pPr>
      <w:ind w:left="720"/>
    </w:pPr>
    <w:rPr>
      <w:rFonts w:asciiTheme="minorHAnsi" w:hAnsiTheme="minorHAnsi" w:cstheme="minorHAnsi"/>
      <w:sz w:val="20"/>
      <w:szCs w:val="20"/>
      <w:lang w:val="en-GB"/>
    </w:rPr>
  </w:style>
  <w:style w:type="paragraph" w:styleId="TOC5">
    <w:name w:val="toc 5"/>
    <w:basedOn w:val="Normal"/>
    <w:next w:val="Normal"/>
    <w:autoRedefine/>
    <w:uiPriority w:val="39"/>
    <w:unhideWhenUsed/>
    <w:rsid w:val="002E37C3"/>
    <w:pPr>
      <w:ind w:left="960"/>
    </w:pPr>
    <w:rPr>
      <w:rFonts w:asciiTheme="minorHAnsi" w:hAnsiTheme="minorHAnsi" w:cstheme="minorHAnsi"/>
      <w:sz w:val="20"/>
      <w:szCs w:val="20"/>
      <w:lang w:val="en-GB"/>
    </w:rPr>
  </w:style>
  <w:style w:type="paragraph" w:styleId="TOC6">
    <w:name w:val="toc 6"/>
    <w:basedOn w:val="Normal"/>
    <w:next w:val="Normal"/>
    <w:autoRedefine/>
    <w:uiPriority w:val="39"/>
    <w:unhideWhenUsed/>
    <w:rsid w:val="002E37C3"/>
    <w:pPr>
      <w:ind w:left="1200"/>
    </w:pPr>
    <w:rPr>
      <w:rFonts w:asciiTheme="minorHAnsi" w:hAnsiTheme="minorHAnsi" w:cstheme="minorHAnsi"/>
      <w:sz w:val="20"/>
      <w:szCs w:val="20"/>
      <w:lang w:val="en-GB"/>
    </w:rPr>
  </w:style>
  <w:style w:type="paragraph" w:styleId="TOC7">
    <w:name w:val="toc 7"/>
    <w:basedOn w:val="Normal"/>
    <w:next w:val="Normal"/>
    <w:autoRedefine/>
    <w:uiPriority w:val="39"/>
    <w:unhideWhenUsed/>
    <w:rsid w:val="002E37C3"/>
    <w:pPr>
      <w:ind w:left="1440"/>
    </w:pPr>
    <w:rPr>
      <w:rFonts w:asciiTheme="minorHAnsi" w:hAnsiTheme="minorHAnsi" w:cstheme="minorHAnsi"/>
      <w:sz w:val="20"/>
      <w:szCs w:val="20"/>
      <w:lang w:val="en-GB"/>
    </w:rPr>
  </w:style>
  <w:style w:type="paragraph" w:styleId="TOC8">
    <w:name w:val="toc 8"/>
    <w:basedOn w:val="Normal"/>
    <w:next w:val="Normal"/>
    <w:autoRedefine/>
    <w:uiPriority w:val="39"/>
    <w:unhideWhenUsed/>
    <w:rsid w:val="002E37C3"/>
    <w:pPr>
      <w:ind w:left="1680"/>
    </w:pPr>
    <w:rPr>
      <w:rFonts w:asciiTheme="minorHAnsi" w:hAnsiTheme="minorHAnsi" w:cstheme="minorHAnsi"/>
      <w:sz w:val="20"/>
      <w:szCs w:val="20"/>
      <w:lang w:val="en-GB"/>
    </w:rPr>
  </w:style>
  <w:style w:type="paragraph" w:styleId="TOC9">
    <w:name w:val="toc 9"/>
    <w:basedOn w:val="Normal"/>
    <w:next w:val="Normal"/>
    <w:autoRedefine/>
    <w:uiPriority w:val="39"/>
    <w:unhideWhenUsed/>
    <w:rsid w:val="002E37C3"/>
    <w:pPr>
      <w:ind w:left="1920"/>
    </w:pPr>
    <w:rPr>
      <w:rFonts w:asciiTheme="minorHAnsi" w:hAnsiTheme="minorHAnsi" w:cstheme="minorHAnsi"/>
      <w:sz w:val="20"/>
      <w:szCs w:val="20"/>
      <w:lang w:val="en-GB"/>
    </w:rPr>
  </w:style>
  <w:style w:type="character" w:styleId="FollowedHyperlink">
    <w:name w:val="FollowedHyperlink"/>
    <w:basedOn w:val="DefaultParagraphFont"/>
    <w:uiPriority w:val="99"/>
    <w:semiHidden/>
    <w:unhideWhenUsed/>
    <w:rsid w:val="002E37C3"/>
    <w:rPr>
      <w:color w:val="954F72" w:themeColor="followedHyperlink"/>
      <w:u w:val="single"/>
    </w:rPr>
  </w:style>
  <w:style w:type="character" w:customStyle="1" w:styleId="Mention1">
    <w:name w:val="Mention1"/>
    <w:basedOn w:val="DefaultParagraphFont"/>
    <w:uiPriority w:val="99"/>
    <w:unhideWhenUsed/>
    <w:rsid w:val="002E37C3"/>
    <w:rPr>
      <w:color w:val="2B579A"/>
      <w:shd w:val="clear" w:color="auto" w:fill="E6E6E6"/>
    </w:rPr>
  </w:style>
  <w:style w:type="character" w:customStyle="1" w:styleId="Heading4Char">
    <w:name w:val="Heading 4 Char"/>
    <w:basedOn w:val="DefaultParagraphFont"/>
    <w:link w:val="Heading4"/>
    <w:uiPriority w:val="9"/>
    <w:semiHidden/>
    <w:rsid w:val="00435999"/>
    <w:rPr>
      <w:rFonts w:asciiTheme="majorHAnsi" w:eastAsiaTheme="majorEastAsia" w:hAnsiTheme="majorHAnsi" w:cstheme="majorBidi"/>
      <w:i/>
      <w:iCs/>
      <w:color w:val="2F5496" w:themeColor="accent1" w:themeShade="BF"/>
      <w:sz w:val="24"/>
      <w:szCs w:val="24"/>
      <w:lang w:val="en-GB" w:eastAsia="en-GB"/>
    </w:rPr>
  </w:style>
  <w:style w:type="character" w:customStyle="1" w:styleId="Heading5Char">
    <w:name w:val="Heading 5 Char"/>
    <w:basedOn w:val="DefaultParagraphFont"/>
    <w:link w:val="Heading5"/>
    <w:uiPriority w:val="9"/>
    <w:semiHidden/>
    <w:rsid w:val="00435999"/>
    <w:rPr>
      <w:rFonts w:asciiTheme="majorHAnsi" w:eastAsiaTheme="majorEastAsia" w:hAnsiTheme="majorHAnsi" w:cstheme="majorBidi"/>
      <w:color w:val="2F5496" w:themeColor="accent1" w:themeShade="BF"/>
      <w:sz w:val="24"/>
      <w:szCs w:val="24"/>
      <w:lang w:val="en-GB" w:eastAsia="en-GB"/>
    </w:rPr>
  </w:style>
  <w:style w:type="character" w:customStyle="1" w:styleId="Heading6Char">
    <w:name w:val="Heading 6 Char"/>
    <w:basedOn w:val="DefaultParagraphFont"/>
    <w:link w:val="Heading6"/>
    <w:uiPriority w:val="9"/>
    <w:semiHidden/>
    <w:rsid w:val="00435999"/>
    <w:rPr>
      <w:rFonts w:asciiTheme="majorHAnsi" w:eastAsiaTheme="majorEastAsia" w:hAnsiTheme="majorHAnsi" w:cstheme="majorBidi"/>
      <w:color w:val="1F3763" w:themeColor="accent1" w:themeShade="7F"/>
      <w:sz w:val="24"/>
      <w:szCs w:val="24"/>
      <w:lang w:val="en-GB" w:eastAsia="en-GB"/>
    </w:rPr>
  </w:style>
  <w:style w:type="character" w:customStyle="1" w:styleId="Heading7Char">
    <w:name w:val="Heading 7 Char"/>
    <w:basedOn w:val="DefaultParagraphFont"/>
    <w:link w:val="Heading7"/>
    <w:uiPriority w:val="9"/>
    <w:semiHidden/>
    <w:rsid w:val="00435999"/>
    <w:rPr>
      <w:rFonts w:asciiTheme="majorHAnsi" w:eastAsiaTheme="majorEastAsia" w:hAnsiTheme="majorHAnsi" w:cstheme="majorBidi"/>
      <w:i/>
      <w:iCs/>
      <w:color w:val="1F3763" w:themeColor="accent1" w:themeShade="7F"/>
      <w:sz w:val="24"/>
      <w:szCs w:val="24"/>
      <w:lang w:val="en-GB" w:eastAsia="en-GB"/>
    </w:rPr>
  </w:style>
  <w:style w:type="character" w:customStyle="1" w:styleId="Heading8Char">
    <w:name w:val="Heading 8 Char"/>
    <w:basedOn w:val="DefaultParagraphFont"/>
    <w:link w:val="Heading8"/>
    <w:uiPriority w:val="9"/>
    <w:semiHidden/>
    <w:rsid w:val="00435999"/>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uiPriority w:val="9"/>
    <w:semiHidden/>
    <w:rsid w:val="00435999"/>
    <w:rPr>
      <w:rFonts w:asciiTheme="majorHAnsi" w:eastAsiaTheme="majorEastAsia" w:hAnsiTheme="majorHAnsi" w:cstheme="majorBidi"/>
      <w:i/>
      <w:iCs/>
      <w:color w:val="272727" w:themeColor="text1" w:themeTint="D8"/>
      <w:sz w:val="21"/>
      <w:szCs w:val="21"/>
      <w:lang w:val="en-GB" w:eastAsia="en-GB"/>
    </w:rPr>
  </w:style>
  <w:style w:type="character" w:customStyle="1" w:styleId="apple-converted-space">
    <w:name w:val="apple-converted-space"/>
    <w:basedOn w:val="DefaultParagraphFont"/>
    <w:rsid w:val="0031601E"/>
  </w:style>
  <w:style w:type="character" w:customStyle="1" w:styleId="outlook-search-highlight">
    <w:name w:val="outlook-search-highlight"/>
    <w:basedOn w:val="DefaultParagraphFont"/>
    <w:rsid w:val="0031601E"/>
  </w:style>
  <w:style w:type="character" w:customStyle="1" w:styleId="BodyTextChar">
    <w:name w:val="#BodyText Char"/>
    <w:basedOn w:val="DefaultParagraphFont"/>
    <w:link w:val="BodyText"/>
    <w:locked/>
    <w:rsid w:val="008749F3"/>
    <w:rPr>
      <w:rFonts w:ascii="Arial" w:hAnsi="Arial" w:cs="Arial"/>
      <w:lang w:val="en-GB"/>
    </w:rPr>
  </w:style>
  <w:style w:type="paragraph" w:customStyle="1" w:styleId="BodyText">
    <w:name w:val="#BodyText"/>
    <w:basedOn w:val="Normal"/>
    <w:link w:val="BodyTextChar"/>
    <w:qFormat/>
    <w:rsid w:val="008749F3"/>
    <w:pPr>
      <w:spacing w:after="240"/>
      <w:jc w:val="both"/>
    </w:pPr>
    <w:rPr>
      <w:rFonts w:ascii="Arial" w:eastAsiaTheme="minorEastAsia" w:hAnsi="Arial" w:cs="Arial"/>
      <w:sz w:val="22"/>
      <w:szCs w:val="22"/>
      <w:lang w:val="en-GB" w:eastAsia="zh-CN"/>
    </w:rPr>
  </w:style>
  <w:style w:type="paragraph" w:customStyle="1" w:styleId="TableLeftm">
    <w:name w:val="^Table=Left+m"/>
    <w:basedOn w:val="Normal"/>
    <w:uiPriority w:val="17"/>
    <w:qFormat/>
    <w:rsid w:val="008749F3"/>
    <w:pPr>
      <w:spacing w:before="120" w:after="120"/>
    </w:pPr>
    <w:rPr>
      <w:rFonts w:ascii="Arial" w:hAnsi="Arial"/>
      <w:sz w:val="20"/>
      <w:szCs w:val="20"/>
      <w:lang w:val="en-GB" w:eastAsia="en-CA"/>
    </w:rPr>
  </w:style>
  <w:style w:type="table" w:styleId="GridTable6ColourfulAccent5">
    <w:name w:val="Grid Table 6 Colorful Accent 5"/>
    <w:basedOn w:val="TableNormal"/>
    <w:uiPriority w:val="51"/>
    <w:rsid w:val="008749F3"/>
    <w:pPr>
      <w:spacing w:after="0" w:line="240" w:lineRule="auto"/>
    </w:pPr>
    <w:rPr>
      <w:color w:val="2E74B5" w:themeColor="accent5" w:themeShade="BF"/>
      <w:sz w:val="24"/>
      <w:szCs w:val="24"/>
      <w:lang w:val="it-IT"/>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xmsolistparagraph">
    <w:name w:val="x_msolistparagraph"/>
    <w:basedOn w:val="Normal"/>
    <w:rsid w:val="008749F3"/>
    <w:pPr>
      <w:spacing w:before="100" w:beforeAutospacing="1" w:after="100" w:afterAutospacing="1"/>
    </w:pPr>
    <w:rPr>
      <w:lang w:val="en-US" w:eastAsia="zh-CN"/>
    </w:rPr>
  </w:style>
  <w:style w:type="character" w:customStyle="1" w:styleId="timestampscreenreaderfriendly-408">
    <w:name w:val="timestampscreenreaderfriendly-408"/>
    <w:basedOn w:val="DefaultParagraphFont"/>
    <w:rsid w:val="009957DF"/>
  </w:style>
  <w:style w:type="character" w:customStyle="1" w:styleId="itemdisplayname-461">
    <w:name w:val="itemdisplayname-461"/>
    <w:basedOn w:val="DefaultParagraphFont"/>
    <w:rsid w:val="00213B9A"/>
  </w:style>
  <w:style w:type="table" w:styleId="ListTable4-Accent1">
    <w:name w:val="List Table 4 Accent 1"/>
    <w:basedOn w:val="TableNormal"/>
    <w:uiPriority w:val="49"/>
    <w:rsid w:val="00A72AC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lainText">
    <w:name w:val="Plain Text"/>
    <w:basedOn w:val="Normal"/>
    <w:link w:val="PlainTextChar"/>
    <w:uiPriority w:val="99"/>
    <w:unhideWhenUsed/>
    <w:rsid w:val="00CA0469"/>
    <w:rPr>
      <w:rFonts w:ascii="Consolas" w:eastAsiaTheme="minorHAnsi" w:hAnsi="Consolas" w:cs="Consolas"/>
      <w:kern w:val="2"/>
      <w:sz w:val="21"/>
      <w:szCs w:val="21"/>
      <w:lang w:val="en-GB" w:eastAsia="en-US"/>
      <w14:ligatures w14:val="standardContextual"/>
    </w:rPr>
  </w:style>
  <w:style w:type="character" w:customStyle="1" w:styleId="PlainTextChar">
    <w:name w:val="Plain Text Char"/>
    <w:basedOn w:val="DefaultParagraphFont"/>
    <w:link w:val="PlainText"/>
    <w:uiPriority w:val="99"/>
    <w:rsid w:val="00CA0469"/>
    <w:rPr>
      <w:rFonts w:ascii="Consolas" w:eastAsiaTheme="minorHAnsi" w:hAnsi="Consolas" w:cs="Consolas"/>
      <w:kern w:val="2"/>
      <w:sz w:val="21"/>
      <w:szCs w:val="21"/>
      <w:lang w:val="en-GB" w:eastAsia="en-US"/>
      <w14:ligatures w14:val="standardContextual"/>
    </w:rPr>
  </w:style>
  <w:style w:type="character" w:customStyle="1" w:styleId="ui-provider">
    <w:name w:val="ui-provider"/>
    <w:basedOn w:val="DefaultParagraphFont"/>
    <w:rsid w:val="00D46D9D"/>
  </w:style>
  <w:style w:type="character" w:styleId="Strong">
    <w:name w:val="Strong"/>
    <w:basedOn w:val="DefaultParagraphFont"/>
    <w:uiPriority w:val="22"/>
    <w:qFormat/>
    <w:rsid w:val="003C20F9"/>
    <w:rPr>
      <w:b/>
      <w:bCs/>
    </w:rPr>
  </w:style>
  <w:style w:type="paragraph" w:customStyle="1" w:styleId="first-token">
    <w:name w:val="first-token"/>
    <w:basedOn w:val="Normal"/>
    <w:rsid w:val="004615C5"/>
    <w:pPr>
      <w:spacing w:before="100" w:beforeAutospacing="1" w:after="100" w:afterAutospacing="1"/>
    </w:pPr>
    <w:rPr>
      <w:lang w:val="en-GB"/>
    </w:rPr>
  </w:style>
  <w:style w:type="character" w:customStyle="1" w:styleId="citation-0">
    <w:name w:val="citation-0"/>
    <w:basedOn w:val="DefaultParagraphFont"/>
    <w:rsid w:val="00A34F33"/>
  </w:style>
  <w:style w:type="character" w:customStyle="1" w:styleId="citation-1">
    <w:name w:val="citation-1"/>
    <w:basedOn w:val="DefaultParagraphFont"/>
    <w:rsid w:val="00A34F33"/>
  </w:style>
  <w:style w:type="character" w:customStyle="1" w:styleId="citation-2">
    <w:name w:val="citation-2"/>
    <w:basedOn w:val="DefaultParagraphFont"/>
    <w:rsid w:val="00A34F33"/>
  </w:style>
  <w:style w:type="character" w:customStyle="1" w:styleId="citation-3">
    <w:name w:val="citation-3"/>
    <w:basedOn w:val="DefaultParagraphFont"/>
    <w:rsid w:val="00A34F33"/>
  </w:style>
  <w:style w:type="character" w:customStyle="1" w:styleId="citation-4">
    <w:name w:val="citation-4"/>
    <w:basedOn w:val="DefaultParagraphFont"/>
    <w:rsid w:val="00A34F33"/>
  </w:style>
  <w:style w:type="character" w:customStyle="1" w:styleId="citation-5">
    <w:name w:val="citation-5"/>
    <w:basedOn w:val="DefaultParagraphFont"/>
    <w:rsid w:val="00A34F33"/>
  </w:style>
  <w:style w:type="character" w:styleId="UnresolvedMention">
    <w:name w:val="Unresolved Mention"/>
    <w:basedOn w:val="DefaultParagraphFont"/>
    <w:uiPriority w:val="99"/>
    <w:rsid w:val="003E5FAE"/>
    <w:rPr>
      <w:color w:val="605E5C"/>
      <w:shd w:val="clear" w:color="auto" w:fill="E1DFDD"/>
    </w:rPr>
  </w:style>
  <w:style w:type="character" w:customStyle="1" w:styleId="url">
    <w:name w:val="url"/>
    <w:basedOn w:val="DefaultParagraphFont"/>
    <w:rsid w:val="00A94C9F"/>
  </w:style>
  <w:style w:type="character" w:styleId="Mention">
    <w:name w:val="Mention"/>
    <w:basedOn w:val="DefaultParagraphFont"/>
    <w:uiPriority w:val="99"/>
    <w:rsid w:val="00B9607D"/>
    <w:rPr>
      <w:color w:val="2B579A"/>
      <w:shd w:val="clear" w:color="auto" w:fill="E1DFDD"/>
    </w:rPr>
  </w:style>
  <w:style w:type="paragraph" w:styleId="Caption">
    <w:name w:val="caption"/>
    <w:basedOn w:val="Normal"/>
    <w:next w:val="Normal"/>
    <w:uiPriority w:val="35"/>
    <w:unhideWhenUsed/>
    <w:qFormat/>
    <w:rsid w:val="00095298"/>
    <w:pPr>
      <w:spacing w:after="200"/>
    </w:pPr>
    <w:rPr>
      <w:i/>
      <w:iCs/>
      <w:color w:val="44546A" w:themeColor="text2"/>
      <w:sz w:val="18"/>
      <w:szCs w:val="18"/>
      <w:lang w:val="en-GB"/>
    </w:rPr>
  </w:style>
  <w:style w:type="character" w:customStyle="1" w:styleId="oj-italic">
    <w:name w:val="oj-italic"/>
    <w:basedOn w:val="DefaultParagraphFont"/>
    <w:rsid w:val="005B3877"/>
  </w:style>
  <w:style w:type="paragraph" w:customStyle="1" w:styleId="oj-normal">
    <w:name w:val="oj-normal"/>
    <w:basedOn w:val="Normal"/>
    <w:rsid w:val="005B38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402">
      <w:bodyDiv w:val="1"/>
      <w:marLeft w:val="0"/>
      <w:marRight w:val="0"/>
      <w:marTop w:val="0"/>
      <w:marBottom w:val="0"/>
      <w:divBdr>
        <w:top w:val="none" w:sz="0" w:space="0" w:color="auto"/>
        <w:left w:val="none" w:sz="0" w:space="0" w:color="auto"/>
        <w:bottom w:val="none" w:sz="0" w:space="0" w:color="auto"/>
        <w:right w:val="none" w:sz="0" w:space="0" w:color="auto"/>
      </w:divBdr>
    </w:div>
    <w:div w:id="14431941">
      <w:bodyDiv w:val="1"/>
      <w:marLeft w:val="0"/>
      <w:marRight w:val="0"/>
      <w:marTop w:val="0"/>
      <w:marBottom w:val="0"/>
      <w:divBdr>
        <w:top w:val="none" w:sz="0" w:space="0" w:color="auto"/>
        <w:left w:val="none" w:sz="0" w:space="0" w:color="auto"/>
        <w:bottom w:val="none" w:sz="0" w:space="0" w:color="auto"/>
        <w:right w:val="none" w:sz="0" w:space="0" w:color="auto"/>
      </w:divBdr>
    </w:div>
    <w:div w:id="19673755">
      <w:bodyDiv w:val="1"/>
      <w:marLeft w:val="0"/>
      <w:marRight w:val="0"/>
      <w:marTop w:val="0"/>
      <w:marBottom w:val="0"/>
      <w:divBdr>
        <w:top w:val="none" w:sz="0" w:space="0" w:color="auto"/>
        <w:left w:val="none" w:sz="0" w:space="0" w:color="auto"/>
        <w:bottom w:val="none" w:sz="0" w:space="0" w:color="auto"/>
        <w:right w:val="none" w:sz="0" w:space="0" w:color="auto"/>
      </w:divBdr>
    </w:div>
    <w:div w:id="31806431">
      <w:bodyDiv w:val="1"/>
      <w:marLeft w:val="0"/>
      <w:marRight w:val="0"/>
      <w:marTop w:val="0"/>
      <w:marBottom w:val="0"/>
      <w:divBdr>
        <w:top w:val="none" w:sz="0" w:space="0" w:color="auto"/>
        <w:left w:val="none" w:sz="0" w:space="0" w:color="auto"/>
        <w:bottom w:val="none" w:sz="0" w:space="0" w:color="auto"/>
        <w:right w:val="none" w:sz="0" w:space="0" w:color="auto"/>
      </w:divBdr>
      <w:divsChild>
        <w:div w:id="1604802272">
          <w:marLeft w:val="-720"/>
          <w:marRight w:val="0"/>
          <w:marTop w:val="0"/>
          <w:marBottom w:val="0"/>
          <w:divBdr>
            <w:top w:val="none" w:sz="0" w:space="0" w:color="auto"/>
            <w:left w:val="none" w:sz="0" w:space="0" w:color="auto"/>
            <w:bottom w:val="none" w:sz="0" w:space="0" w:color="auto"/>
            <w:right w:val="none" w:sz="0" w:space="0" w:color="auto"/>
          </w:divBdr>
        </w:div>
      </w:divsChild>
    </w:div>
    <w:div w:id="39205803">
      <w:bodyDiv w:val="1"/>
      <w:marLeft w:val="0"/>
      <w:marRight w:val="0"/>
      <w:marTop w:val="0"/>
      <w:marBottom w:val="0"/>
      <w:divBdr>
        <w:top w:val="none" w:sz="0" w:space="0" w:color="auto"/>
        <w:left w:val="none" w:sz="0" w:space="0" w:color="auto"/>
        <w:bottom w:val="none" w:sz="0" w:space="0" w:color="auto"/>
        <w:right w:val="none" w:sz="0" w:space="0" w:color="auto"/>
      </w:divBdr>
    </w:div>
    <w:div w:id="47806572">
      <w:bodyDiv w:val="1"/>
      <w:marLeft w:val="0"/>
      <w:marRight w:val="0"/>
      <w:marTop w:val="0"/>
      <w:marBottom w:val="0"/>
      <w:divBdr>
        <w:top w:val="none" w:sz="0" w:space="0" w:color="auto"/>
        <w:left w:val="none" w:sz="0" w:space="0" w:color="auto"/>
        <w:bottom w:val="none" w:sz="0" w:space="0" w:color="auto"/>
        <w:right w:val="none" w:sz="0" w:space="0" w:color="auto"/>
      </w:divBdr>
    </w:div>
    <w:div w:id="70322956">
      <w:bodyDiv w:val="1"/>
      <w:marLeft w:val="0"/>
      <w:marRight w:val="0"/>
      <w:marTop w:val="0"/>
      <w:marBottom w:val="0"/>
      <w:divBdr>
        <w:top w:val="none" w:sz="0" w:space="0" w:color="auto"/>
        <w:left w:val="none" w:sz="0" w:space="0" w:color="auto"/>
        <w:bottom w:val="none" w:sz="0" w:space="0" w:color="auto"/>
        <w:right w:val="none" w:sz="0" w:space="0" w:color="auto"/>
      </w:divBdr>
    </w:div>
    <w:div w:id="101649506">
      <w:bodyDiv w:val="1"/>
      <w:marLeft w:val="0"/>
      <w:marRight w:val="0"/>
      <w:marTop w:val="0"/>
      <w:marBottom w:val="0"/>
      <w:divBdr>
        <w:top w:val="none" w:sz="0" w:space="0" w:color="auto"/>
        <w:left w:val="none" w:sz="0" w:space="0" w:color="auto"/>
        <w:bottom w:val="none" w:sz="0" w:space="0" w:color="auto"/>
        <w:right w:val="none" w:sz="0" w:space="0" w:color="auto"/>
      </w:divBdr>
    </w:div>
    <w:div w:id="126704400">
      <w:bodyDiv w:val="1"/>
      <w:marLeft w:val="0"/>
      <w:marRight w:val="0"/>
      <w:marTop w:val="0"/>
      <w:marBottom w:val="0"/>
      <w:divBdr>
        <w:top w:val="none" w:sz="0" w:space="0" w:color="auto"/>
        <w:left w:val="none" w:sz="0" w:space="0" w:color="auto"/>
        <w:bottom w:val="none" w:sz="0" w:space="0" w:color="auto"/>
        <w:right w:val="none" w:sz="0" w:space="0" w:color="auto"/>
      </w:divBdr>
    </w:div>
    <w:div w:id="132261530">
      <w:bodyDiv w:val="1"/>
      <w:marLeft w:val="0"/>
      <w:marRight w:val="0"/>
      <w:marTop w:val="0"/>
      <w:marBottom w:val="0"/>
      <w:divBdr>
        <w:top w:val="none" w:sz="0" w:space="0" w:color="auto"/>
        <w:left w:val="none" w:sz="0" w:space="0" w:color="auto"/>
        <w:bottom w:val="none" w:sz="0" w:space="0" w:color="auto"/>
        <w:right w:val="none" w:sz="0" w:space="0" w:color="auto"/>
      </w:divBdr>
    </w:div>
    <w:div w:id="139812780">
      <w:bodyDiv w:val="1"/>
      <w:marLeft w:val="0"/>
      <w:marRight w:val="0"/>
      <w:marTop w:val="0"/>
      <w:marBottom w:val="0"/>
      <w:divBdr>
        <w:top w:val="none" w:sz="0" w:space="0" w:color="auto"/>
        <w:left w:val="none" w:sz="0" w:space="0" w:color="auto"/>
        <w:bottom w:val="none" w:sz="0" w:space="0" w:color="auto"/>
        <w:right w:val="none" w:sz="0" w:space="0" w:color="auto"/>
      </w:divBdr>
      <w:divsChild>
        <w:div w:id="577128770">
          <w:marLeft w:val="0"/>
          <w:marRight w:val="0"/>
          <w:marTop w:val="0"/>
          <w:marBottom w:val="0"/>
          <w:divBdr>
            <w:top w:val="none" w:sz="0" w:space="0" w:color="auto"/>
            <w:left w:val="none" w:sz="0" w:space="0" w:color="auto"/>
            <w:bottom w:val="none" w:sz="0" w:space="0" w:color="auto"/>
            <w:right w:val="none" w:sz="0" w:space="0" w:color="auto"/>
          </w:divBdr>
          <w:divsChild>
            <w:div w:id="1791363897">
              <w:marLeft w:val="0"/>
              <w:marRight w:val="0"/>
              <w:marTop w:val="0"/>
              <w:marBottom w:val="0"/>
              <w:divBdr>
                <w:top w:val="none" w:sz="0" w:space="0" w:color="auto"/>
                <w:left w:val="none" w:sz="0" w:space="0" w:color="auto"/>
                <w:bottom w:val="none" w:sz="0" w:space="0" w:color="auto"/>
                <w:right w:val="none" w:sz="0" w:space="0" w:color="auto"/>
              </w:divBdr>
              <w:divsChild>
                <w:div w:id="771783311">
                  <w:marLeft w:val="0"/>
                  <w:marRight w:val="0"/>
                  <w:marTop w:val="0"/>
                  <w:marBottom w:val="0"/>
                  <w:divBdr>
                    <w:top w:val="none" w:sz="0" w:space="0" w:color="auto"/>
                    <w:left w:val="none" w:sz="0" w:space="0" w:color="auto"/>
                    <w:bottom w:val="none" w:sz="0" w:space="0" w:color="auto"/>
                    <w:right w:val="none" w:sz="0" w:space="0" w:color="auto"/>
                  </w:divBdr>
                  <w:divsChild>
                    <w:div w:id="17291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9298">
      <w:bodyDiv w:val="1"/>
      <w:marLeft w:val="0"/>
      <w:marRight w:val="0"/>
      <w:marTop w:val="0"/>
      <w:marBottom w:val="0"/>
      <w:divBdr>
        <w:top w:val="none" w:sz="0" w:space="0" w:color="auto"/>
        <w:left w:val="none" w:sz="0" w:space="0" w:color="auto"/>
        <w:bottom w:val="none" w:sz="0" w:space="0" w:color="auto"/>
        <w:right w:val="none" w:sz="0" w:space="0" w:color="auto"/>
      </w:divBdr>
      <w:divsChild>
        <w:div w:id="1843742638">
          <w:marLeft w:val="0"/>
          <w:marRight w:val="0"/>
          <w:marTop w:val="0"/>
          <w:marBottom w:val="0"/>
          <w:divBdr>
            <w:top w:val="none" w:sz="0" w:space="0" w:color="auto"/>
            <w:left w:val="none" w:sz="0" w:space="0" w:color="auto"/>
            <w:bottom w:val="none" w:sz="0" w:space="0" w:color="auto"/>
            <w:right w:val="none" w:sz="0" w:space="0" w:color="auto"/>
          </w:divBdr>
          <w:divsChild>
            <w:div w:id="1218933420">
              <w:marLeft w:val="0"/>
              <w:marRight w:val="0"/>
              <w:marTop w:val="0"/>
              <w:marBottom w:val="0"/>
              <w:divBdr>
                <w:top w:val="none" w:sz="0" w:space="0" w:color="auto"/>
                <w:left w:val="none" w:sz="0" w:space="0" w:color="auto"/>
                <w:bottom w:val="none" w:sz="0" w:space="0" w:color="auto"/>
                <w:right w:val="none" w:sz="0" w:space="0" w:color="auto"/>
              </w:divBdr>
              <w:divsChild>
                <w:div w:id="1835953058">
                  <w:marLeft w:val="0"/>
                  <w:marRight w:val="0"/>
                  <w:marTop w:val="0"/>
                  <w:marBottom w:val="0"/>
                  <w:divBdr>
                    <w:top w:val="none" w:sz="0" w:space="0" w:color="auto"/>
                    <w:left w:val="none" w:sz="0" w:space="0" w:color="auto"/>
                    <w:bottom w:val="none" w:sz="0" w:space="0" w:color="auto"/>
                    <w:right w:val="none" w:sz="0" w:space="0" w:color="auto"/>
                  </w:divBdr>
                  <w:divsChild>
                    <w:div w:id="180774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6180">
      <w:bodyDiv w:val="1"/>
      <w:marLeft w:val="0"/>
      <w:marRight w:val="0"/>
      <w:marTop w:val="0"/>
      <w:marBottom w:val="0"/>
      <w:divBdr>
        <w:top w:val="none" w:sz="0" w:space="0" w:color="auto"/>
        <w:left w:val="none" w:sz="0" w:space="0" w:color="auto"/>
        <w:bottom w:val="none" w:sz="0" w:space="0" w:color="auto"/>
        <w:right w:val="none" w:sz="0" w:space="0" w:color="auto"/>
      </w:divBdr>
    </w:div>
    <w:div w:id="159395292">
      <w:bodyDiv w:val="1"/>
      <w:marLeft w:val="0"/>
      <w:marRight w:val="0"/>
      <w:marTop w:val="0"/>
      <w:marBottom w:val="0"/>
      <w:divBdr>
        <w:top w:val="none" w:sz="0" w:space="0" w:color="auto"/>
        <w:left w:val="none" w:sz="0" w:space="0" w:color="auto"/>
        <w:bottom w:val="none" w:sz="0" w:space="0" w:color="auto"/>
        <w:right w:val="none" w:sz="0" w:space="0" w:color="auto"/>
      </w:divBdr>
    </w:div>
    <w:div w:id="170799993">
      <w:bodyDiv w:val="1"/>
      <w:marLeft w:val="0"/>
      <w:marRight w:val="0"/>
      <w:marTop w:val="0"/>
      <w:marBottom w:val="0"/>
      <w:divBdr>
        <w:top w:val="none" w:sz="0" w:space="0" w:color="auto"/>
        <w:left w:val="none" w:sz="0" w:space="0" w:color="auto"/>
        <w:bottom w:val="none" w:sz="0" w:space="0" w:color="auto"/>
        <w:right w:val="none" w:sz="0" w:space="0" w:color="auto"/>
      </w:divBdr>
    </w:div>
    <w:div w:id="193271926">
      <w:bodyDiv w:val="1"/>
      <w:marLeft w:val="0"/>
      <w:marRight w:val="0"/>
      <w:marTop w:val="0"/>
      <w:marBottom w:val="0"/>
      <w:divBdr>
        <w:top w:val="none" w:sz="0" w:space="0" w:color="auto"/>
        <w:left w:val="none" w:sz="0" w:space="0" w:color="auto"/>
        <w:bottom w:val="none" w:sz="0" w:space="0" w:color="auto"/>
        <w:right w:val="none" w:sz="0" w:space="0" w:color="auto"/>
      </w:divBdr>
      <w:divsChild>
        <w:div w:id="1460805664">
          <w:marLeft w:val="-720"/>
          <w:marRight w:val="0"/>
          <w:marTop w:val="0"/>
          <w:marBottom w:val="0"/>
          <w:divBdr>
            <w:top w:val="none" w:sz="0" w:space="0" w:color="auto"/>
            <w:left w:val="none" w:sz="0" w:space="0" w:color="auto"/>
            <w:bottom w:val="none" w:sz="0" w:space="0" w:color="auto"/>
            <w:right w:val="none" w:sz="0" w:space="0" w:color="auto"/>
          </w:divBdr>
        </w:div>
      </w:divsChild>
    </w:div>
    <w:div w:id="203060463">
      <w:bodyDiv w:val="1"/>
      <w:marLeft w:val="0"/>
      <w:marRight w:val="0"/>
      <w:marTop w:val="0"/>
      <w:marBottom w:val="0"/>
      <w:divBdr>
        <w:top w:val="none" w:sz="0" w:space="0" w:color="auto"/>
        <w:left w:val="none" w:sz="0" w:space="0" w:color="auto"/>
        <w:bottom w:val="none" w:sz="0" w:space="0" w:color="auto"/>
        <w:right w:val="none" w:sz="0" w:space="0" w:color="auto"/>
      </w:divBdr>
    </w:div>
    <w:div w:id="219441603">
      <w:bodyDiv w:val="1"/>
      <w:marLeft w:val="0"/>
      <w:marRight w:val="0"/>
      <w:marTop w:val="0"/>
      <w:marBottom w:val="0"/>
      <w:divBdr>
        <w:top w:val="none" w:sz="0" w:space="0" w:color="auto"/>
        <w:left w:val="none" w:sz="0" w:space="0" w:color="auto"/>
        <w:bottom w:val="none" w:sz="0" w:space="0" w:color="auto"/>
        <w:right w:val="none" w:sz="0" w:space="0" w:color="auto"/>
      </w:divBdr>
    </w:div>
    <w:div w:id="290019019">
      <w:bodyDiv w:val="1"/>
      <w:marLeft w:val="0"/>
      <w:marRight w:val="0"/>
      <w:marTop w:val="0"/>
      <w:marBottom w:val="0"/>
      <w:divBdr>
        <w:top w:val="none" w:sz="0" w:space="0" w:color="auto"/>
        <w:left w:val="none" w:sz="0" w:space="0" w:color="auto"/>
        <w:bottom w:val="none" w:sz="0" w:space="0" w:color="auto"/>
        <w:right w:val="none" w:sz="0" w:space="0" w:color="auto"/>
      </w:divBdr>
    </w:div>
    <w:div w:id="292950352">
      <w:bodyDiv w:val="1"/>
      <w:marLeft w:val="0"/>
      <w:marRight w:val="0"/>
      <w:marTop w:val="0"/>
      <w:marBottom w:val="0"/>
      <w:divBdr>
        <w:top w:val="none" w:sz="0" w:space="0" w:color="auto"/>
        <w:left w:val="none" w:sz="0" w:space="0" w:color="auto"/>
        <w:bottom w:val="none" w:sz="0" w:space="0" w:color="auto"/>
        <w:right w:val="none" w:sz="0" w:space="0" w:color="auto"/>
      </w:divBdr>
    </w:div>
    <w:div w:id="296879515">
      <w:bodyDiv w:val="1"/>
      <w:marLeft w:val="0"/>
      <w:marRight w:val="0"/>
      <w:marTop w:val="0"/>
      <w:marBottom w:val="0"/>
      <w:divBdr>
        <w:top w:val="none" w:sz="0" w:space="0" w:color="auto"/>
        <w:left w:val="none" w:sz="0" w:space="0" w:color="auto"/>
        <w:bottom w:val="none" w:sz="0" w:space="0" w:color="auto"/>
        <w:right w:val="none" w:sz="0" w:space="0" w:color="auto"/>
      </w:divBdr>
    </w:div>
    <w:div w:id="327174468">
      <w:bodyDiv w:val="1"/>
      <w:marLeft w:val="0"/>
      <w:marRight w:val="0"/>
      <w:marTop w:val="0"/>
      <w:marBottom w:val="0"/>
      <w:divBdr>
        <w:top w:val="none" w:sz="0" w:space="0" w:color="auto"/>
        <w:left w:val="none" w:sz="0" w:space="0" w:color="auto"/>
        <w:bottom w:val="none" w:sz="0" w:space="0" w:color="auto"/>
        <w:right w:val="none" w:sz="0" w:space="0" w:color="auto"/>
      </w:divBdr>
      <w:divsChild>
        <w:div w:id="1355812932">
          <w:marLeft w:val="0"/>
          <w:marRight w:val="0"/>
          <w:marTop w:val="0"/>
          <w:marBottom w:val="0"/>
          <w:divBdr>
            <w:top w:val="none" w:sz="0" w:space="0" w:color="auto"/>
            <w:left w:val="none" w:sz="0" w:space="0" w:color="auto"/>
            <w:bottom w:val="none" w:sz="0" w:space="0" w:color="auto"/>
            <w:right w:val="none" w:sz="0" w:space="0" w:color="auto"/>
          </w:divBdr>
          <w:divsChild>
            <w:div w:id="1360087995">
              <w:marLeft w:val="0"/>
              <w:marRight w:val="0"/>
              <w:marTop w:val="0"/>
              <w:marBottom w:val="0"/>
              <w:divBdr>
                <w:top w:val="none" w:sz="0" w:space="0" w:color="auto"/>
                <w:left w:val="none" w:sz="0" w:space="0" w:color="auto"/>
                <w:bottom w:val="none" w:sz="0" w:space="0" w:color="auto"/>
                <w:right w:val="none" w:sz="0" w:space="0" w:color="auto"/>
              </w:divBdr>
              <w:divsChild>
                <w:div w:id="1027876161">
                  <w:marLeft w:val="0"/>
                  <w:marRight w:val="0"/>
                  <w:marTop w:val="0"/>
                  <w:marBottom w:val="0"/>
                  <w:divBdr>
                    <w:top w:val="none" w:sz="0" w:space="0" w:color="auto"/>
                    <w:left w:val="none" w:sz="0" w:space="0" w:color="auto"/>
                    <w:bottom w:val="none" w:sz="0" w:space="0" w:color="auto"/>
                    <w:right w:val="none" w:sz="0" w:space="0" w:color="auto"/>
                  </w:divBdr>
                  <w:divsChild>
                    <w:div w:id="4489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511656">
      <w:bodyDiv w:val="1"/>
      <w:marLeft w:val="0"/>
      <w:marRight w:val="0"/>
      <w:marTop w:val="0"/>
      <w:marBottom w:val="0"/>
      <w:divBdr>
        <w:top w:val="none" w:sz="0" w:space="0" w:color="auto"/>
        <w:left w:val="none" w:sz="0" w:space="0" w:color="auto"/>
        <w:bottom w:val="none" w:sz="0" w:space="0" w:color="auto"/>
        <w:right w:val="none" w:sz="0" w:space="0" w:color="auto"/>
      </w:divBdr>
      <w:divsChild>
        <w:div w:id="764768498">
          <w:marLeft w:val="0"/>
          <w:marRight w:val="0"/>
          <w:marTop w:val="0"/>
          <w:marBottom w:val="0"/>
          <w:divBdr>
            <w:top w:val="none" w:sz="0" w:space="0" w:color="auto"/>
            <w:left w:val="none" w:sz="0" w:space="0" w:color="auto"/>
            <w:bottom w:val="none" w:sz="0" w:space="0" w:color="auto"/>
            <w:right w:val="none" w:sz="0" w:space="0" w:color="auto"/>
          </w:divBdr>
          <w:divsChild>
            <w:div w:id="561675941">
              <w:marLeft w:val="0"/>
              <w:marRight w:val="0"/>
              <w:marTop w:val="0"/>
              <w:marBottom w:val="0"/>
              <w:divBdr>
                <w:top w:val="none" w:sz="0" w:space="0" w:color="auto"/>
                <w:left w:val="none" w:sz="0" w:space="0" w:color="auto"/>
                <w:bottom w:val="none" w:sz="0" w:space="0" w:color="auto"/>
                <w:right w:val="none" w:sz="0" w:space="0" w:color="auto"/>
              </w:divBdr>
              <w:divsChild>
                <w:div w:id="1595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6174">
      <w:bodyDiv w:val="1"/>
      <w:marLeft w:val="0"/>
      <w:marRight w:val="0"/>
      <w:marTop w:val="0"/>
      <w:marBottom w:val="0"/>
      <w:divBdr>
        <w:top w:val="none" w:sz="0" w:space="0" w:color="auto"/>
        <w:left w:val="none" w:sz="0" w:space="0" w:color="auto"/>
        <w:bottom w:val="none" w:sz="0" w:space="0" w:color="auto"/>
        <w:right w:val="none" w:sz="0" w:space="0" w:color="auto"/>
      </w:divBdr>
    </w:div>
    <w:div w:id="375545749">
      <w:bodyDiv w:val="1"/>
      <w:marLeft w:val="0"/>
      <w:marRight w:val="0"/>
      <w:marTop w:val="0"/>
      <w:marBottom w:val="0"/>
      <w:divBdr>
        <w:top w:val="none" w:sz="0" w:space="0" w:color="auto"/>
        <w:left w:val="none" w:sz="0" w:space="0" w:color="auto"/>
        <w:bottom w:val="none" w:sz="0" w:space="0" w:color="auto"/>
        <w:right w:val="none" w:sz="0" w:space="0" w:color="auto"/>
      </w:divBdr>
      <w:divsChild>
        <w:div w:id="249124730">
          <w:marLeft w:val="0"/>
          <w:marRight w:val="0"/>
          <w:marTop w:val="0"/>
          <w:marBottom w:val="0"/>
          <w:divBdr>
            <w:top w:val="none" w:sz="0" w:space="0" w:color="auto"/>
            <w:left w:val="none" w:sz="0" w:space="0" w:color="auto"/>
            <w:bottom w:val="none" w:sz="0" w:space="0" w:color="auto"/>
            <w:right w:val="none" w:sz="0" w:space="0" w:color="auto"/>
          </w:divBdr>
          <w:divsChild>
            <w:div w:id="2122143387">
              <w:marLeft w:val="0"/>
              <w:marRight w:val="0"/>
              <w:marTop w:val="0"/>
              <w:marBottom w:val="0"/>
              <w:divBdr>
                <w:top w:val="none" w:sz="0" w:space="0" w:color="auto"/>
                <w:left w:val="none" w:sz="0" w:space="0" w:color="auto"/>
                <w:bottom w:val="none" w:sz="0" w:space="0" w:color="auto"/>
                <w:right w:val="none" w:sz="0" w:space="0" w:color="auto"/>
              </w:divBdr>
              <w:divsChild>
                <w:div w:id="7700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366634">
      <w:bodyDiv w:val="1"/>
      <w:marLeft w:val="0"/>
      <w:marRight w:val="0"/>
      <w:marTop w:val="0"/>
      <w:marBottom w:val="0"/>
      <w:divBdr>
        <w:top w:val="none" w:sz="0" w:space="0" w:color="auto"/>
        <w:left w:val="none" w:sz="0" w:space="0" w:color="auto"/>
        <w:bottom w:val="none" w:sz="0" w:space="0" w:color="auto"/>
        <w:right w:val="none" w:sz="0" w:space="0" w:color="auto"/>
      </w:divBdr>
    </w:div>
    <w:div w:id="438111300">
      <w:bodyDiv w:val="1"/>
      <w:marLeft w:val="0"/>
      <w:marRight w:val="0"/>
      <w:marTop w:val="0"/>
      <w:marBottom w:val="0"/>
      <w:divBdr>
        <w:top w:val="none" w:sz="0" w:space="0" w:color="auto"/>
        <w:left w:val="none" w:sz="0" w:space="0" w:color="auto"/>
        <w:bottom w:val="none" w:sz="0" w:space="0" w:color="auto"/>
        <w:right w:val="none" w:sz="0" w:space="0" w:color="auto"/>
      </w:divBdr>
    </w:div>
    <w:div w:id="462433127">
      <w:bodyDiv w:val="1"/>
      <w:marLeft w:val="0"/>
      <w:marRight w:val="0"/>
      <w:marTop w:val="0"/>
      <w:marBottom w:val="0"/>
      <w:divBdr>
        <w:top w:val="none" w:sz="0" w:space="0" w:color="auto"/>
        <w:left w:val="none" w:sz="0" w:space="0" w:color="auto"/>
        <w:bottom w:val="none" w:sz="0" w:space="0" w:color="auto"/>
        <w:right w:val="none" w:sz="0" w:space="0" w:color="auto"/>
      </w:divBdr>
      <w:divsChild>
        <w:div w:id="577835774">
          <w:marLeft w:val="0"/>
          <w:marRight w:val="0"/>
          <w:marTop w:val="0"/>
          <w:marBottom w:val="0"/>
          <w:divBdr>
            <w:top w:val="none" w:sz="0" w:space="0" w:color="auto"/>
            <w:left w:val="none" w:sz="0" w:space="0" w:color="auto"/>
            <w:bottom w:val="none" w:sz="0" w:space="0" w:color="auto"/>
            <w:right w:val="none" w:sz="0" w:space="0" w:color="auto"/>
          </w:divBdr>
          <w:divsChild>
            <w:div w:id="225650862">
              <w:marLeft w:val="0"/>
              <w:marRight w:val="0"/>
              <w:marTop w:val="0"/>
              <w:marBottom w:val="0"/>
              <w:divBdr>
                <w:top w:val="none" w:sz="0" w:space="0" w:color="auto"/>
                <w:left w:val="none" w:sz="0" w:space="0" w:color="auto"/>
                <w:bottom w:val="none" w:sz="0" w:space="0" w:color="auto"/>
                <w:right w:val="none" w:sz="0" w:space="0" w:color="auto"/>
              </w:divBdr>
              <w:divsChild>
                <w:div w:id="1711879115">
                  <w:marLeft w:val="0"/>
                  <w:marRight w:val="0"/>
                  <w:marTop w:val="0"/>
                  <w:marBottom w:val="0"/>
                  <w:divBdr>
                    <w:top w:val="none" w:sz="0" w:space="0" w:color="auto"/>
                    <w:left w:val="none" w:sz="0" w:space="0" w:color="auto"/>
                    <w:bottom w:val="none" w:sz="0" w:space="0" w:color="auto"/>
                    <w:right w:val="none" w:sz="0" w:space="0" w:color="auto"/>
                  </w:divBdr>
                  <w:divsChild>
                    <w:div w:id="770080733">
                      <w:marLeft w:val="0"/>
                      <w:marRight w:val="0"/>
                      <w:marTop w:val="0"/>
                      <w:marBottom w:val="0"/>
                      <w:divBdr>
                        <w:top w:val="none" w:sz="0" w:space="0" w:color="auto"/>
                        <w:left w:val="none" w:sz="0" w:space="0" w:color="auto"/>
                        <w:bottom w:val="none" w:sz="0" w:space="0" w:color="auto"/>
                        <w:right w:val="none" w:sz="0" w:space="0" w:color="auto"/>
                      </w:divBdr>
                      <w:divsChild>
                        <w:div w:id="405079538">
                          <w:marLeft w:val="0"/>
                          <w:marRight w:val="0"/>
                          <w:marTop w:val="0"/>
                          <w:marBottom w:val="0"/>
                          <w:divBdr>
                            <w:top w:val="none" w:sz="0" w:space="0" w:color="auto"/>
                            <w:left w:val="none" w:sz="0" w:space="0" w:color="auto"/>
                            <w:bottom w:val="none" w:sz="0" w:space="0" w:color="auto"/>
                            <w:right w:val="none" w:sz="0" w:space="0" w:color="auto"/>
                          </w:divBdr>
                          <w:divsChild>
                            <w:div w:id="51739047">
                              <w:marLeft w:val="0"/>
                              <w:marRight w:val="0"/>
                              <w:marTop w:val="0"/>
                              <w:marBottom w:val="0"/>
                              <w:divBdr>
                                <w:top w:val="none" w:sz="0" w:space="0" w:color="auto"/>
                                <w:left w:val="none" w:sz="0" w:space="0" w:color="auto"/>
                                <w:bottom w:val="none" w:sz="0" w:space="0" w:color="auto"/>
                                <w:right w:val="none" w:sz="0" w:space="0" w:color="auto"/>
                              </w:divBdr>
                            </w:div>
                            <w:div w:id="129133458">
                              <w:marLeft w:val="0"/>
                              <w:marRight w:val="0"/>
                              <w:marTop w:val="0"/>
                              <w:marBottom w:val="0"/>
                              <w:divBdr>
                                <w:top w:val="none" w:sz="0" w:space="0" w:color="auto"/>
                                <w:left w:val="none" w:sz="0" w:space="0" w:color="auto"/>
                                <w:bottom w:val="none" w:sz="0" w:space="0" w:color="auto"/>
                                <w:right w:val="none" w:sz="0" w:space="0" w:color="auto"/>
                              </w:divBdr>
                            </w:div>
                            <w:div w:id="197623607">
                              <w:marLeft w:val="0"/>
                              <w:marRight w:val="0"/>
                              <w:marTop w:val="0"/>
                              <w:marBottom w:val="0"/>
                              <w:divBdr>
                                <w:top w:val="none" w:sz="0" w:space="0" w:color="auto"/>
                                <w:left w:val="none" w:sz="0" w:space="0" w:color="auto"/>
                                <w:bottom w:val="none" w:sz="0" w:space="0" w:color="auto"/>
                                <w:right w:val="none" w:sz="0" w:space="0" w:color="auto"/>
                              </w:divBdr>
                            </w:div>
                            <w:div w:id="247227425">
                              <w:marLeft w:val="0"/>
                              <w:marRight w:val="0"/>
                              <w:marTop w:val="0"/>
                              <w:marBottom w:val="0"/>
                              <w:divBdr>
                                <w:top w:val="none" w:sz="0" w:space="0" w:color="auto"/>
                                <w:left w:val="none" w:sz="0" w:space="0" w:color="auto"/>
                                <w:bottom w:val="none" w:sz="0" w:space="0" w:color="auto"/>
                                <w:right w:val="none" w:sz="0" w:space="0" w:color="auto"/>
                              </w:divBdr>
                            </w:div>
                            <w:div w:id="373773902">
                              <w:marLeft w:val="0"/>
                              <w:marRight w:val="0"/>
                              <w:marTop w:val="0"/>
                              <w:marBottom w:val="0"/>
                              <w:divBdr>
                                <w:top w:val="none" w:sz="0" w:space="0" w:color="auto"/>
                                <w:left w:val="none" w:sz="0" w:space="0" w:color="auto"/>
                                <w:bottom w:val="none" w:sz="0" w:space="0" w:color="auto"/>
                                <w:right w:val="none" w:sz="0" w:space="0" w:color="auto"/>
                              </w:divBdr>
                            </w:div>
                            <w:div w:id="383794706">
                              <w:marLeft w:val="0"/>
                              <w:marRight w:val="0"/>
                              <w:marTop w:val="0"/>
                              <w:marBottom w:val="0"/>
                              <w:divBdr>
                                <w:top w:val="none" w:sz="0" w:space="0" w:color="auto"/>
                                <w:left w:val="none" w:sz="0" w:space="0" w:color="auto"/>
                                <w:bottom w:val="none" w:sz="0" w:space="0" w:color="auto"/>
                                <w:right w:val="none" w:sz="0" w:space="0" w:color="auto"/>
                              </w:divBdr>
                            </w:div>
                            <w:div w:id="384066117">
                              <w:marLeft w:val="0"/>
                              <w:marRight w:val="0"/>
                              <w:marTop w:val="0"/>
                              <w:marBottom w:val="0"/>
                              <w:divBdr>
                                <w:top w:val="none" w:sz="0" w:space="0" w:color="auto"/>
                                <w:left w:val="none" w:sz="0" w:space="0" w:color="auto"/>
                                <w:bottom w:val="none" w:sz="0" w:space="0" w:color="auto"/>
                                <w:right w:val="none" w:sz="0" w:space="0" w:color="auto"/>
                              </w:divBdr>
                            </w:div>
                            <w:div w:id="404112728">
                              <w:marLeft w:val="0"/>
                              <w:marRight w:val="0"/>
                              <w:marTop w:val="0"/>
                              <w:marBottom w:val="0"/>
                              <w:divBdr>
                                <w:top w:val="none" w:sz="0" w:space="0" w:color="auto"/>
                                <w:left w:val="none" w:sz="0" w:space="0" w:color="auto"/>
                                <w:bottom w:val="none" w:sz="0" w:space="0" w:color="auto"/>
                                <w:right w:val="none" w:sz="0" w:space="0" w:color="auto"/>
                              </w:divBdr>
                            </w:div>
                            <w:div w:id="535000835">
                              <w:marLeft w:val="0"/>
                              <w:marRight w:val="0"/>
                              <w:marTop w:val="0"/>
                              <w:marBottom w:val="0"/>
                              <w:divBdr>
                                <w:top w:val="none" w:sz="0" w:space="0" w:color="auto"/>
                                <w:left w:val="none" w:sz="0" w:space="0" w:color="auto"/>
                                <w:bottom w:val="none" w:sz="0" w:space="0" w:color="auto"/>
                                <w:right w:val="none" w:sz="0" w:space="0" w:color="auto"/>
                              </w:divBdr>
                            </w:div>
                            <w:div w:id="670059839">
                              <w:marLeft w:val="0"/>
                              <w:marRight w:val="0"/>
                              <w:marTop w:val="0"/>
                              <w:marBottom w:val="0"/>
                              <w:divBdr>
                                <w:top w:val="none" w:sz="0" w:space="0" w:color="auto"/>
                                <w:left w:val="none" w:sz="0" w:space="0" w:color="auto"/>
                                <w:bottom w:val="none" w:sz="0" w:space="0" w:color="auto"/>
                                <w:right w:val="none" w:sz="0" w:space="0" w:color="auto"/>
                              </w:divBdr>
                            </w:div>
                            <w:div w:id="719670034">
                              <w:marLeft w:val="0"/>
                              <w:marRight w:val="0"/>
                              <w:marTop w:val="0"/>
                              <w:marBottom w:val="0"/>
                              <w:divBdr>
                                <w:top w:val="none" w:sz="0" w:space="0" w:color="auto"/>
                                <w:left w:val="none" w:sz="0" w:space="0" w:color="auto"/>
                                <w:bottom w:val="none" w:sz="0" w:space="0" w:color="auto"/>
                                <w:right w:val="none" w:sz="0" w:space="0" w:color="auto"/>
                              </w:divBdr>
                            </w:div>
                            <w:div w:id="774253066">
                              <w:marLeft w:val="0"/>
                              <w:marRight w:val="0"/>
                              <w:marTop w:val="0"/>
                              <w:marBottom w:val="0"/>
                              <w:divBdr>
                                <w:top w:val="none" w:sz="0" w:space="0" w:color="auto"/>
                                <w:left w:val="none" w:sz="0" w:space="0" w:color="auto"/>
                                <w:bottom w:val="none" w:sz="0" w:space="0" w:color="auto"/>
                                <w:right w:val="none" w:sz="0" w:space="0" w:color="auto"/>
                              </w:divBdr>
                            </w:div>
                            <w:div w:id="1020205986">
                              <w:marLeft w:val="0"/>
                              <w:marRight w:val="0"/>
                              <w:marTop w:val="0"/>
                              <w:marBottom w:val="0"/>
                              <w:divBdr>
                                <w:top w:val="none" w:sz="0" w:space="0" w:color="auto"/>
                                <w:left w:val="none" w:sz="0" w:space="0" w:color="auto"/>
                                <w:bottom w:val="none" w:sz="0" w:space="0" w:color="auto"/>
                                <w:right w:val="none" w:sz="0" w:space="0" w:color="auto"/>
                              </w:divBdr>
                            </w:div>
                            <w:div w:id="1149174625">
                              <w:marLeft w:val="0"/>
                              <w:marRight w:val="0"/>
                              <w:marTop w:val="0"/>
                              <w:marBottom w:val="0"/>
                              <w:divBdr>
                                <w:top w:val="none" w:sz="0" w:space="0" w:color="auto"/>
                                <w:left w:val="none" w:sz="0" w:space="0" w:color="auto"/>
                                <w:bottom w:val="none" w:sz="0" w:space="0" w:color="auto"/>
                                <w:right w:val="none" w:sz="0" w:space="0" w:color="auto"/>
                              </w:divBdr>
                            </w:div>
                            <w:div w:id="1175266167">
                              <w:marLeft w:val="0"/>
                              <w:marRight w:val="0"/>
                              <w:marTop w:val="0"/>
                              <w:marBottom w:val="0"/>
                              <w:divBdr>
                                <w:top w:val="none" w:sz="0" w:space="0" w:color="auto"/>
                                <w:left w:val="none" w:sz="0" w:space="0" w:color="auto"/>
                                <w:bottom w:val="none" w:sz="0" w:space="0" w:color="auto"/>
                                <w:right w:val="none" w:sz="0" w:space="0" w:color="auto"/>
                              </w:divBdr>
                            </w:div>
                            <w:div w:id="1196235636">
                              <w:marLeft w:val="0"/>
                              <w:marRight w:val="0"/>
                              <w:marTop w:val="0"/>
                              <w:marBottom w:val="0"/>
                              <w:divBdr>
                                <w:top w:val="none" w:sz="0" w:space="0" w:color="auto"/>
                                <w:left w:val="none" w:sz="0" w:space="0" w:color="auto"/>
                                <w:bottom w:val="none" w:sz="0" w:space="0" w:color="auto"/>
                                <w:right w:val="none" w:sz="0" w:space="0" w:color="auto"/>
                              </w:divBdr>
                            </w:div>
                            <w:div w:id="1216046741">
                              <w:marLeft w:val="0"/>
                              <w:marRight w:val="0"/>
                              <w:marTop w:val="0"/>
                              <w:marBottom w:val="0"/>
                              <w:divBdr>
                                <w:top w:val="none" w:sz="0" w:space="0" w:color="auto"/>
                                <w:left w:val="none" w:sz="0" w:space="0" w:color="auto"/>
                                <w:bottom w:val="none" w:sz="0" w:space="0" w:color="auto"/>
                                <w:right w:val="none" w:sz="0" w:space="0" w:color="auto"/>
                              </w:divBdr>
                            </w:div>
                            <w:div w:id="1332834750">
                              <w:marLeft w:val="0"/>
                              <w:marRight w:val="0"/>
                              <w:marTop w:val="0"/>
                              <w:marBottom w:val="0"/>
                              <w:divBdr>
                                <w:top w:val="none" w:sz="0" w:space="0" w:color="auto"/>
                                <w:left w:val="none" w:sz="0" w:space="0" w:color="auto"/>
                                <w:bottom w:val="none" w:sz="0" w:space="0" w:color="auto"/>
                                <w:right w:val="none" w:sz="0" w:space="0" w:color="auto"/>
                              </w:divBdr>
                            </w:div>
                            <w:div w:id="1586184990">
                              <w:marLeft w:val="0"/>
                              <w:marRight w:val="0"/>
                              <w:marTop w:val="0"/>
                              <w:marBottom w:val="0"/>
                              <w:divBdr>
                                <w:top w:val="none" w:sz="0" w:space="0" w:color="auto"/>
                                <w:left w:val="none" w:sz="0" w:space="0" w:color="auto"/>
                                <w:bottom w:val="none" w:sz="0" w:space="0" w:color="auto"/>
                                <w:right w:val="none" w:sz="0" w:space="0" w:color="auto"/>
                              </w:divBdr>
                            </w:div>
                            <w:div w:id="1741101346">
                              <w:marLeft w:val="0"/>
                              <w:marRight w:val="0"/>
                              <w:marTop w:val="0"/>
                              <w:marBottom w:val="0"/>
                              <w:divBdr>
                                <w:top w:val="none" w:sz="0" w:space="0" w:color="auto"/>
                                <w:left w:val="none" w:sz="0" w:space="0" w:color="auto"/>
                                <w:bottom w:val="none" w:sz="0" w:space="0" w:color="auto"/>
                                <w:right w:val="none" w:sz="0" w:space="0" w:color="auto"/>
                              </w:divBdr>
                            </w:div>
                            <w:div w:id="1832870158">
                              <w:marLeft w:val="0"/>
                              <w:marRight w:val="0"/>
                              <w:marTop w:val="0"/>
                              <w:marBottom w:val="0"/>
                              <w:divBdr>
                                <w:top w:val="none" w:sz="0" w:space="0" w:color="auto"/>
                                <w:left w:val="none" w:sz="0" w:space="0" w:color="auto"/>
                                <w:bottom w:val="none" w:sz="0" w:space="0" w:color="auto"/>
                                <w:right w:val="none" w:sz="0" w:space="0" w:color="auto"/>
                              </w:divBdr>
                            </w:div>
                            <w:div w:id="1969505421">
                              <w:marLeft w:val="0"/>
                              <w:marRight w:val="0"/>
                              <w:marTop w:val="0"/>
                              <w:marBottom w:val="0"/>
                              <w:divBdr>
                                <w:top w:val="none" w:sz="0" w:space="0" w:color="auto"/>
                                <w:left w:val="none" w:sz="0" w:space="0" w:color="auto"/>
                                <w:bottom w:val="none" w:sz="0" w:space="0" w:color="auto"/>
                                <w:right w:val="none" w:sz="0" w:space="0" w:color="auto"/>
                              </w:divBdr>
                            </w:div>
                            <w:div w:id="2094354567">
                              <w:marLeft w:val="0"/>
                              <w:marRight w:val="0"/>
                              <w:marTop w:val="0"/>
                              <w:marBottom w:val="0"/>
                              <w:divBdr>
                                <w:top w:val="none" w:sz="0" w:space="0" w:color="auto"/>
                                <w:left w:val="none" w:sz="0" w:space="0" w:color="auto"/>
                                <w:bottom w:val="none" w:sz="0" w:space="0" w:color="auto"/>
                                <w:right w:val="none" w:sz="0" w:space="0" w:color="auto"/>
                              </w:divBdr>
                            </w:div>
                            <w:div w:id="20993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196966">
      <w:bodyDiv w:val="1"/>
      <w:marLeft w:val="0"/>
      <w:marRight w:val="0"/>
      <w:marTop w:val="0"/>
      <w:marBottom w:val="0"/>
      <w:divBdr>
        <w:top w:val="none" w:sz="0" w:space="0" w:color="auto"/>
        <w:left w:val="none" w:sz="0" w:space="0" w:color="auto"/>
        <w:bottom w:val="none" w:sz="0" w:space="0" w:color="auto"/>
        <w:right w:val="none" w:sz="0" w:space="0" w:color="auto"/>
      </w:divBdr>
    </w:div>
    <w:div w:id="482163571">
      <w:bodyDiv w:val="1"/>
      <w:marLeft w:val="0"/>
      <w:marRight w:val="0"/>
      <w:marTop w:val="0"/>
      <w:marBottom w:val="0"/>
      <w:divBdr>
        <w:top w:val="none" w:sz="0" w:space="0" w:color="auto"/>
        <w:left w:val="none" w:sz="0" w:space="0" w:color="auto"/>
        <w:bottom w:val="none" w:sz="0" w:space="0" w:color="auto"/>
        <w:right w:val="none" w:sz="0" w:space="0" w:color="auto"/>
      </w:divBdr>
    </w:div>
    <w:div w:id="490293071">
      <w:bodyDiv w:val="1"/>
      <w:marLeft w:val="0"/>
      <w:marRight w:val="0"/>
      <w:marTop w:val="0"/>
      <w:marBottom w:val="0"/>
      <w:divBdr>
        <w:top w:val="none" w:sz="0" w:space="0" w:color="auto"/>
        <w:left w:val="none" w:sz="0" w:space="0" w:color="auto"/>
        <w:bottom w:val="none" w:sz="0" w:space="0" w:color="auto"/>
        <w:right w:val="none" w:sz="0" w:space="0" w:color="auto"/>
      </w:divBdr>
    </w:div>
    <w:div w:id="531961342">
      <w:bodyDiv w:val="1"/>
      <w:marLeft w:val="0"/>
      <w:marRight w:val="0"/>
      <w:marTop w:val="0"/>
      <w:marBottom w:val="0"/>
      <w:divBdr>
        <w:top w:val="none" w:sz="0" w:space="0" w:color="auto"/>
        <w:left w:val="none" w:sz="0" w:space="0" w:color="auto"/>
        <w:bottom w:val="none" w:sz="0" w:space="0" w:color="auto"/>
        <w:right w:val="none" w:sz="0" w:space="0" w:color="auto"/>
      </w:divBdr>
    </w:div>
    <w:div w:id="547839876">
      <w:bodyDiv w:val="1"/>
      <w:marLeft w:val="0"/>
      <w:marRight w:val="0"/>
      <w:marTop w:val="0"/>
      <w:marBottom w:val="0"/>
      <w:divBdr>
        <w:top w:val="none" w:sz="0" w:space="0" w:color="auto"/>
        <w:left w:val="none" w:sz="0" w:space="0" w:color="auto"/>
        <w:bottom w:val="none" w:sz="0" w:space="0" w:color="auto"/>
        <w:right w:val="none" w:sz="0" w:space="0" w:color="auto"/>
      </w:divBdr>
    </w:div>
    <w:div w:id="570116215">
      <w:bodyDiv w:val="1"/>
      <w:marLeft w:val="0"/>
      <w:marRight w:val="0"/>
      <w:marTop w:val="0"/>
      <w:marBottom w:val="0"/>
      <w:divBdr>
        <w:top w:val="none" w:sz="0" w:space="0" w:color="auto"/>
        <w:left w:val="none" w:sz="0" w:space="0" w:color="auto"/>
        <w:bottom w:val="none" w:sz="0" w:space="0" w:color="auto"/>
        <w:right w:val="none" w:sz="0" w:space="0" w:color="auto"/>
      </w:divBdr>
    </w:div>
    <w:div w:id="570577743">
      <w:bodyDiv w:val="1"/>
      <w:marLeft w:val="0"/>
      <w:marRight w:val="0"/>
      <w:marTop w:val="0"/>
      <w:marBottom w:val="0"/>
      <w:divBdr>
        <w:top w:val="none" w:sz="0" w:space="0" w:color="auto"/>
        <w:left w:val="none" w:sz="0" w:space="0" w:color="auto"/>
        <w:bottom w:val="none" w:sz="0" w:space="0" w:color="auto"/>
        <w:right w:val="none" w:sz="0" w:space="0" w:color="auto"/>
      </w:divBdr>
      <w:divsChild>
        <w:div w:id="2090495468">
          <w:marLeft w:val="-720"/>
          <w:marRight w:val="0"/>
          <w:marTop w:val="0"/>
          <w:marBottom w:val="0"/>
          <w:divBdr>
            <w:top w:val="none" w:sz="0" w:space="0" w:color="auto"/>
            <w:left w:val="none" w:sz="0" w:space="0" w:color="auto"/>
            <w:bottom w:val="none" w:sz="0" w:space="0" w:color="auto"/>
            <w:right w:val="none" w:sz="0" w:space="0" w:color="auto"/>
          </w:divBdr>
        </w:div>
      </w:divsChild>
    </w:div>
    <w:div w:id="571737233">
      <w:bodyDiv w:val="1"/>
      <w:marLeft w:val="0"/>
      <w:marRight w:val="0"/>
      <w:marTop w:val="0"/>
      <w:marBottom w:val="0"/>
      <w:divBdr>
        <w:top w:val="none" w:sz="0" w:space="0" w:color="auto"/>
        <w:left w:val="none" w:sz="0" w:space="0" w:color="auto"/>
        <w:bottom w:val="none" w:sz="0" w:space="0" w:color="auto"/>
        <w:right w:val="none" w:sz="0" w:space="0" w:color="auto"/>
      </w:divBdr>
    </w:div>
    <w:div w:id="589583686">
      <w:bodyDiv w:val="1"/>
      <w:marLeft w:val="0"/>
      <w:marRight w:val="0"/>
      <w:marTop w:val="0"/>
      <w:marBottom w:val="0"/>
      <w:divBdr>
        <w:top w:val="none" w:sz="0" w:space="0" w:color="auto"/>
        <w:left w:val="none" w:sz="0" w:space="0" w:color="auto"/>
        <w:bottom w:val="none" w:sz="0" w:space="0" w:color="auto"/>
        <w:right w:val="none" w:sz="0" w:space="0" w:color="auto"/>
      </w:divBdr>
    </w:div>
    <w:div w:id="610481710">
      <w:bodyDiv w:val="1"/>
      <w:marLeft w:val="0"/>
      <w:marRight w:val="0"/>
      <w:marTop w:val="0"/>
      <w:marBottom w:val="0"/>
      <w:divBdr>
        <w:top w:val="none" w:sz="0" w:space="0" w:color="auto"/>
        <w:left w:val="none" w:sz="0" w:space="0" w:color="auto"/>
        <w:bottom w:val="none" w:sz="0" w:space="0" w:color="auto"/>
        <w:right w:val="none" w:sz="0" w:space="0" w:color="auto"/>
      </w:divBdr>
    </w:div>
    <w:div w:id="615254477">
      <w:bodyDiv w:val="1"/>
      <w:marLeft w:val="0"/>
      <w:marRight w:val="0"/>
      <w:marTop w:val="0"/>
      <w:marBottom w:val="0"/>
      <w:divBdr>
        <w:top w:val="none" w:sz="0" w:space="0" w:color="auto"/>
        <w:left w:val="none" w:sz="0" w:space="0" w:color="auto"/>
        <w:bottom w:val="none" w:sz="0" w:space="0" w:color="auto"/>
        <w:right w:val="none" w:sz="0" w:space="0" w:color="auto"/>
      </w:divBdr>
    </w:div>
    <w:div w:id="644627670">
      <w:bodyDiv w:val="1"/>
      <w:marLeft w:val="0"/>
      <w:marRight w:val="0"/>
      <w:marTop w:val="0"/>
      <w:marBottom w:val="0"/>
      <w:divBdr>
        <w:top w:val="none" w:sz="0" w:space="0" w:color="auto"/>
        <w:left w:val="none" w:sz="0" w:space="0" w:color="auto"/>
        <w:bottom w:val="none" w:sz="0" w:space="0" w:color="auto"/>
        <w:right w:val="none" w:sz="0" w:space="0" w:color="auto"/>
      </w:divBdr>
    </w:div>
    <w:div w:id="674961477">
      <w:bodyDiv w:val="1"/>
      <w:marLeft w:val="0"/>
      <w:marRight w:val="0"/>
      <w:marTop w:val="0"/>
      <w:marBottom w:val="0"/>
      <w:divBdr>
        <w:top w:val="none" w:sz="0" w:space="0" w:color="auto"/>
        <w:left w:val="none" w:sz="0" w:space="0" w:color="auto"/>
        <w:bottom w:val="none" w:sz="0" w:space="0" w:color="auto"/>
        <w:right w:val="none" w:sz="0" w:space="0" w:color="auto"/>
      </w:divBdr>
      <w:divsChild>
        <w:div w:id="906766777">
          <w:marLeft w:val="0"/>
          <w:marRight w:val="0"/>
          <w:marTop w:val="0"/>
          <w:marBottom w:val="0"/>
          <w:divBdr>
            <w:top w:val="none" w:sz="0" w:space="0" w:color="auto"/>
            <w:left w:val="none" w:sz="0" w:space="0" w:color="auto"/>
            <w:bottom w:val="none" w:sz="0" w:space="0" w:color="auto"/>
            <w:right w:val="none" w:sz="0" w:space="0" w:color="auto"/>
          </w:divBdr>
          <w:divsChild>
            <w:div w:id="1263758038">
              <w:marLeft w:val="0"/>
              <w:marRight w:val="0"/>
              <w:marTop w:val="0"/>
              <w:marBottom w:val="0"/>
              <w:divBdr>
                <w:top w:val="none" w:sz="0" w:space="0" w:color="auto"/>
                <w:left w:val="none" w:sz="0" w:space="0" w:color="auto"/>
                <w:bottom w:val="none" w:sz="0" w:space="0" w:color="auto"/>
                <w:right w:val="none" w:sz="0" w:space="0" w:color="auto"/>
              </w:divBdr>
              <w:divsChild>
                <w:div w:id="1845054014">
                  <w:marLeft w:val="0"/>
                  <w:marRight w:val="0"/>
                  <w:marTop w:val="0"/>
                  <w:marBottom w:val="0"/>
                  <w:divBdr>
                    <w:top w:val="none" w:sz="0" w:space="0" w:color="auto"/>
                    <w:left w:val="none" w:sz="0" w:space="0" w:color="auto"/>
                    <w:bottom w:val="none" w:sz="0" w:space="0" w:color="auto"/>
                    <w:right w:val="none" w:sz="0" w:space="0" w:color="auto"/>
                  </w:divBdr>
                  <w:divsChild>
                    <w:div w:id="99630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516749">
      <w:bodyDiv w:val="1"/>
      <w:marLeft w:val="0"/>
      <w:marRight w:val="0"/>
      <w:marTop w:val="0"/>
      <w:marBottom w:val="0"/>
      <w:divBdr>
        <w:top w:val="none" w:sz="0" w:space="0" w:color="auto"/>
        <w:left w:val="none" w:sz="0" w:space="0" w:color="auto"/>
        <w:bottom w:val="none" w:sz="0" w:space="0" w:color="auto"/>
        <w:right w:val="none" w:sz="0" w:space="0" w:color="auto"/>
      </w:divBdr>
      <w:divsChild>
        <w:div w:id="1710908507">
          <w:marLeft w:val="-720"/>
          <w:marRight w:val="0"/>
          <w:marTop w:val="0"/>
          <w:marBottom w:val="0"/>
          <w:divBdr>
            <w:top w:val="none" w:sz="0" w:space="0" w:color="auto"/>
            <w:left w:val="none" w:sz="0" w:space="0" w:color="auto"/>
            <w:bottom w:val="none" w:sz="0" w:space="0" w:color="auto"/>
            <w:right w:val="none" w:sz="0" w:space="0" w:color="auto"/>
          </w:divBdr>
        </w:div>
      </w:divsChild>
    </w:div>
    <w:div w:id="715852479">
      <w:bodyDiv w:val="1"/>
      <w:marLeft w:val="0"/>
      <w:marRight w:val="0"/>
      <w:marTop w:val="0"/>
      <w:marBottom w:val="0"/>
      <w:divBdr>
        <w:top w:val="none" w:sz="0" w:space="0" w:color="auto"/>
        <w:left w:val="none" w:sz="0" w:space="0" w:color="auto"/>
        <w:bottom w:val="none" w:sz="0" w:space="0" w:color="auto"/>
        <w:right w:val="none" w:sz="0" w:space="0" w:color="auto"/>
      </w:divBdr>
    </w:div>
    <w:div w:id="716707126">
      <w:bodyDiv w:val="1"/>
      <w:marLeft w:val="0"/>
      <w:marRight w:val="0"/>
      <w:marTop w:val="0"/>
      <w:marBottom w:val="0"/>
      <w:divBdr>
        <w:top w:val="none" w:sz="0" w:space="0" w:color="auto"/>
        <w:left w:val="none" w:sz="0" w:space="0" w:color="auto"/>
        <w:bottom w:val="none" w:sz="0" w:space="0" w:color="auto"/>
        <w:right w:val="none" w:sz="0" w:space="0" w:color="auto"/>
      </w:divBdr>
    </w:div>
    <w:div w:id="777600858">
      <w:bodyDiv w:val="1"/>
      <w:marLeft w:val="0"/>
      <w:marRight w:val="0"/>
      <w:marTop w:val="0"/>
      <w:marBottom w:val="0"/>
      <w:divBdr>
        <w:top w:val="none" w:sz="0" w:space="0" w:color="auto"/>
        <w:left w:val="none" w:sz="0" w:space="0" w:color="auto"/>
        <w:bottom w:val="none" w:sz="0" w:space="0" w:color="auto"/>
        <w:right w:val="none" w:sz="0" w:space="0" w:color="auto"/>
      </w:divBdr>
    </w:div>
    <w:div w:id="783156521">
      <w:bodyDiv w:val="1"/>
      <w:marLeft w:val="0"/>
      <w:marRight w:val="0"/>
      <w:marTop w:val="0"/>
      <w:marBottom w:val="0"/>
      <w:divBdr>
        <w:top w:val="none" w:sz="0" w:space="0" w:color="auto"/>
        <w:left w:val="none" w:sz="0" w:space="0" w:color="auto"/>
        <w:bottom w:val="none" w:sz="0" w:space="0" w:color="auto"/>
        <w:right w:val="none" w:sz="0" w:space="0" w:color="auto"/>
      </w:divBdr>
    </w:div>
    <w:div w:id="801505876">
      <w:bodyDiv w:val="1"/>
      <w:marLeft w:val="0"/>
      <w:marRight w:val="0"/>
      <w:marTop w:val="0"/>
      <w:marBottom w:val="0"/>
      <w:divBdr>
        <w:top w:val="none" w:sz="0" w:space="0" w:color="auto"/>
        <w:left w:val="none" w:sz="0" w:space="0" w:color="auto"/>
        <w:bottom w:val="none" w:sz="0" w:space="0" w:color="auto"/>
        <w:right w:val="none" w:sz="0" w:space="0" w:color="auto"/>
      </w:divBdr>
    </w:div>
    <w:div w:id="838349915">
      <w:bodyDiv w:val="1"/>
      <w:marLeft w:val="0"/>
      <w:marRight w:val="0"/>
      <w:marTop w:val="0"/>
      <w:marBottom w:val="0"/>
      <w:divBdr>
        <w:top w:val="none" w:sz="0" w:space="0" w:color="auto"/>
        <w:left w:val="none" w:sz="0" w:space="0" w:color="auto"/>
        <w:bottom w:val="none" w:sz="0" w:space="0" w:color="auto"/>
        <w:right w:val="none" w:sz="0" w:space="0" w:color="auto"/>
      </w:divBdr>
    </w:div>
    <w:div w:id="857963122">
      <w:bodyDiv w:val="1"/>
      <w:marLeft w:val="0"/>
      <w:marRight w:val="0"/>
      <w:marTop w:val="0"/>
      <w:marBottom w:val="0"/>
      <w:divBdr>
        <w:top w:val="none" w:sz="0" w:space="0" w:color="auto"/>
        <w:left w:val="none" w:sz="0" w:space="0" w:color="auto"/>
        <w:bottom w:val="none" w:sz="0" w:space="0" w:color="auto"/>
        <w:right w:val="none" w:sz="0" w:space="0" w:color="auto"/>
      </w:divBdr>
    </w:div>
    <w:div w:id="858198453">
      <w:bodyDiv w:val="1"/>
      <w:marLeft w:val="0"/>
      <w:marRight w:val="0"/>
      <w:marTop w:val="0"/>
      <w:marBottom w:val="0"/>
      <w:divBdr>
        <w:top w:val="none" w:sz="0" w:space="0" w:color="auto"/>
        <w:left w:val="none" w:sz="0" w:space="0" w:color="auto"/>
        <w:bottom w:val="none" w:sz="0" w:space="0" w:color="auto"/>
        <w:right w:val="none" w:sz="0" w:space="0" w:color="auto"/>
      </w:divBdr>
    </w:div>
    <w:div w:id="862746451">
      <w:bodyDiv w:val="1"/>
      <w:marLeft w:val="0"/>
      <w:marRight w:val="0"/>
      <w:marTop w:val="0"/>
      <w:marBottom w:val="0"/>
      <w:divBdr>
        <w:top w:val="none" w:sz="0" w:space="0" w:color="auto"/>
        <w:left w:val="none" w:sz="0" w:space="0" w:color="auto"/>
        <w:bottom w:val="none" w:sz="0" w:space="0" w:color="auto"/>
        <w:right w:val="none" w:sz="0" w:space="0" w:color="auto"/>
      </w:divBdr>
      <w:divsChild>
        <w:div w:id="871918300">
          <w:marLeft w:val="0"/>
          <w:marRight w:val="0"/>
          <w:marTop w:val="0"/>
          <w:marBottom w:val="0"/>
          <w:divBdr>
            <w:top w:val="none" w:sz="0" w:space="0" w:color="auto"/>
            <w:left w:val="none" w:sz="0" w:space="0" w:color="auto"/>
            <w:bottom w:val="none" w:sz="0" w:space="0" w:color="auto"/>
            <w:right w:val="none" w:sz="0" w:space="0" w:color="auto"/>
          </w:divBdr>
          <w:divsChild>
            <w:div w:id="568878869">
              <w:marLeft w:val="0"/>
              <w:marRight w:val="0"/>
              <w:marTop w:val="0"/>
              <w:marBottom w:val="0"/>
              <w:divBdr>
                <w:top w:val="none" w:sz="0" w:space="0" w:color="auto"/>
                <w:left w:val="none" w:sz="0" w:space="0" w:color="auto"/>
                <w:bottom w:val="none" w:sz="0" w:space="0" w:color="auto"/>
                <w:right w:val="none" w:sz="0" w:space="0" w:color="auto"/>
              </w:divBdr>
              <w:divsChild>
                <w:div w:id="152051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9320">
      <w:bodyDiv w:val="1"/>
      <w:marLeft w:val="0"/>
      <w:marRight w:val="0"/>
      <w:marTop w:val="0"/>
      <w:marBottom w:val="0"/>
      <w:divBdr>
        <w:top w:val="none" w:sz="0" w:space="0" w:color="auto"/>
        <w:left w:val="none" w:sz="0" w:space="0" w:color="auto"/>
        <w:bottom w:val="none" w:sz="0" w:space="0" w:color="auto"/>
        <w:right w:val="none" w:sz="0" w:space="0" w:color="auto"/>
      </w:divBdr>
      <w:divsChild>
        <w:div w:id="1903520763">
          <w:marLeft w:val="0"/>
          <w:marRight w:val="0"/>
          <w:marTop w:val="0"/>
          <w:marBottom w:val="0"/>
          <w:divBdr>
            <w:top w:val="none" w:sz="0" w:space="0" w:color="auto"/>
            <w:left w:val="none" w:sz="0" w:space="0" w:color="auto"/>
            <w:bottom w:val="none" w:sz="0" w:space="0" w:color="auto"/>
            <w:right w:val="none" w:sz="0" w:space="0" w:color="auto"/>
          </w:divBdr>
          <w:divsChild>
            <w:div w:id="1858035722">
              <w:marLeft w:val="0"/>
              <w:marRight w:val="0"/>
              <w:marTop w:val="0"/>
              <w:marBottom w:val="0"/>
              <w:divBdr>
                <w:top w:val="none" w:sz="0" w:space="0" w:color="auto"/>
                <w:left w:val="none" w:sz="0" w:space="0" w:color="auto"/>
                <w:bottom w:val="none" w:sz="0" w:space="0" w:color="auto"/>
                <w:right w:val="none" w:sz="0" w:space="0" w:color="auto"/>
              </w:divBdr>
              <w:divsChild>
                <w:div w:id="657613620">
                  <w:marLeft w:val="0"/>
                  <w:marRight w:val="0"/>
                  <w:marTop w:val="0"/>
                  <w:marBottom w:val="0"/>
                  <w:divBdr>
                    <w:top w:val="none" w:sz="0" w:space="0" w:color="auto"/>
                    <w:left w:val="none" w:sz="0" w:space="0" w:color="auto"/>
                    <w:bottom w:val="none" w:sz="0" w:space="0" w:color="auto"/>
                    <w:right w:val="none" w:sz="0" w:space="0" w:color="auto"/>
                  </w:divBdr>
                  <w:divsChild>
                    <w:div w:id="18576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2250">
      <w:bodyDiv w:val="1"/>
      <w:marLeft w:val="0"/>
      <w:marRight w:val="0"/>
      <w:marTop w:val="0"/>
      <w:marBottom w:val="0"/>
      <w:divBdr>
        <w:top w:val="none" w:sz="0" w:space="0" w:color="auto"/>
        <w:left w:val="none" w:sz="0" w:space="0" w:color="auto"/>
        <w:bottom w:val="none" w:sz="0" w:space="0" w:color="auto"/>
        <w:right w:val="none" w:sz="0" w:space="0" w:color="auto"/>
      </w:divBdr>
    </w:div>
    <w:div w:id="896013488">
      <w:bodyDiv w:val="1"/>
      <w:marLeft w:val="0"/>
      <w:marRight w:val="0"/>
      <w:marTop w:val="0"/>
      <w:marBottom w:val="0"/>
      <w:divBdr>
        <w:top w:val="none" w:sz="0" w:space="0" w:color="auto"/>
        <w:left w:val="none" w:sz="0" w:space="0" w:color="auto"/>
        <w:bottom w:val="none" w:sz="0" w:space="0" w:color="auto"/>
        <w:right w:val="none" w:sz="0" w:space="0" w:color="auto"/>
      </w:divBdr>
    </w:div>
    <w:div w:id="907691921">
      <w:bodyDiv w:val="1"/>
      <w:marLeft w:val="0"/>
      <w:marRight w:val="0"/>
      <w:marTop w:val="0"/>
      <w:marBottom w:val="0"/>
      <w:divBdr>
        <w:top w:val="none" w:sz="0" w:space="0" w:color="auto"/>
        <w:left w:val="none" w:sz="0" w:space="0" w:color="auto"/>
        <w:bottom w:val="none" w:sz="0" w:space="0" w:color="auto"/>
        <w:right w:val="none" w:sz="0" w:space="0" w:color="auto"/>
      </w:divBdr>
    </w:div>
    <w:div w:id="941912240">
      <w:bodyDiv w:val="1"/>
      <w:marLeft w:val="0"/>
      <w:marRight w:val="0"/>
      <w:marTop w:val="0"/>
      <w:marBottom w:val="0"/>
      <w:divBdr>
        <w:top w:val="none" w:sz="0" w:space="0" w:color="auto"/>
        <w:left w:val="none" w:sz="0" w:space="0" w:color="auto"/>
        <w:bottom w:val="none" w:sz="0" w:space="0" w:color="auto"/>
        <w:right w:val="none" w:sz="0" w:space="0" w:color="auto"/>
      </w:divBdr>
    </w:div>
    <w:div w:id="971716360">
      <w:bodyDiv w:val="1"/>
      <w:marLeft w:val="0"/>
      <w:marRight w:val="0"/>
      <w:marTop w:val="0"/>
      <w:marBottom w:val="0"/>
      <w:divBdr>
        <w:top w:val="none" w:sz="0" w:space="0" w:color="auto"/>
        <w:left w:val="none" w:sz="0" w:space="0" w:color="auto"/>
        <w:bottom w:val="none" w:sz="0" w:space="0" w:color="auto"/>
        <w:right w:val="none" w:sz="0" w:space="0" w:color="auto"/>
      </w:divBdr>
      <w:divsChild>
        <w:div w:id="524099578">
          <w:marLeft w:val="-720"/>
          <w:marRight w:val="0"/>
          <w:marTop w:val="0"/>
          <w:marBottom w:val="0"/>
          <w:divBdr>
            <w:top w:val="none" w:sz="0" w:space="0" w:color="auto"/>
            <w:left w:val="none" w:sz="0" w:space="0" w:color="auto"/>
            <w:bottom w:val="none" w:sz="0" w:space="0" w:color="auto"/>
            <w:right w:val="none" w:sz="0" w:space="0" w:color="auto"/>
          </w:divBdr>
        </w:div>
      </w:divsChild>
    </w:div>
    <w:div w:id="972368887">
      <w:bodyDiv w:val="1"/>
      <w:marLeft w:val="0"/>
      <w:marRight w:val="0"/>
      <w:marTop w:val="0"/>
      <w:marBottom w:val="0"/>
      <w:divBdr>
        <w:top w:val="none" w:sz="0" w:space="0" w:color="auto"/>
        <w:left w:val="none" w:sz="0" w:space="0" w:color="auto"/>
        <w:bottom w:val="none" w:sz="0" w:space="0" w:color="auto"/>
        <w:right w:val="none" w:sz="0" w:space="0" w:color="auto"/>
      </w:divBdr>
    </w:div>
    <w:div w:id="997726471">
      <w:bodyDiv w:val="1"/>
      <w:marLeft w:val="0"/>
      <w:marRight w:val="0"/>
      <w:marTop w:val="0"/>
      <w:marBottom w:val="0"/>
      <w:divBdr>
        <w:top w:val="none" w:sz="0" w:space="0" w:color="auto"/>
        <w:left w:val="none" w:sz="0" w:space="0" w:color="auto"/>
        <w:bottom w:val="none" w:sz="0" w:space="0" w:color="auto"/>
        <w:right w:val="none" w:sz="0" w:space="0" w:color="auto"/>
      </w:divBdr>
    </w:div>
    <w:div w:id="1016686712">
      <w:bodyDiv w:val="1"/>
      <w:marLeft w:val="0"/>
      <w:marRight w:val="0"/>
      <w:marTop w:val="0"/>
      <w:marBottom w:val="0"/>
      <w:divBdr>
        <w:top w:val="none" w:sz="0" w:space="0" w:color="auto"/>
        <w:left w:val="none" w:sz="0" w:space="0" w:color="auto"/>
        <w:bottom w:val="none" w:sz="0" w:space="0" w:color="auto"/>
        <w:right w:val="none" w:sz="0" w:space="0" w:color="auto"/>
      </w:divBdr>
    </w:div>
    <w:div w:id="1021593635">
      <w:bodyDiv w:val="1"/>
      <w:marLeft w:val="0"/>
      <w:marRight w:val="0"/>
      <w:marTop w:val="0"/>
      <w:marBottom w:val="0"/>
      <w:divBdr>
        <w:top w:val="none" w:sz="0" w:space="0" w:color="auto"/>
        <w:left w:val="none" w:sz="0" w:space="0" w:color="auto"/>
        <w:bottom w:val="none" w:sz="0" w:space="0" w:color="auto"/>
        <w:right w:val="none" w:sz="0" w:space="0" w:color="auto"/>
      </w:divBdr>
    </w:div>
    <w:div w:id="1071317886">
      <w:bodyDiv w:val="1"/>
      <w:marLeft w:val="0"/>
      <w:marRight w:val="0"/>
      <w:marTop w:val="0"/>
      <w:marBottom w:val="0"/>
      <w:divBdr>
        <w:top w:val="none" w:sz="0" w:space="0" w:color="auto"/>
        <w:left w:val="none" w:sz="0" w:space="0" w:color="auto"/>
        <w:bottom w:val="none" w:sz="0" w:space="0" w:color="auto"/>
        <w:right w:val="none" w:sz="0" w:space="0" w:color="auto"/>
      </w:divBdr>
    </w:div>
    <w:div w:id="1081946814">
      <w:bodyDiv w:val="1"/>
      <w:marLeft w:val="0"/>
      <w:marRight w:val="0"/>
      <w:marTop w:val="0"/>
      <w:marBottom w:val="0"/>
      <w:divBdr>
        <w:top w:val="none" w:sz="0" w:space="0" w:color="auto"/>
        <w:left w:val="none" w:sz="0" w:space="0" w:color="auto"/>
        <w:bottom w:val="none" w:sz="0" w:space="0" w:color="auto"/>
        <w:right w:val="none" w:sz="0" w:space="0" w:color="auto"/>
      </w:divBdr>
    </w:div>
    <w:div w:id="1089619986">
      <w:bodyDiv w:val="1"/>
      <w:marLeft w:val="0"/>
      <w:marRight w:val="0"/>
      <w:marTop w:val="0"/>
      <w:marBottom w:val="0"/>
      <w:divBdr>
        <w:top w:val="none" w:sz="0" w:space="0" w:color="auto"/>
        <w:left w:val="none" w:sz="0" w:space="0" w:color="auto"/>
        <w:bottom w:val="none" w:sz="0" w:space="0" w:color="auto"/>
        <w:right w:val="none" w:sz="0" w:space="0" w:color="auto"/>
      </w:divBdr>
    </w:div>
    <w:div w:id="1097138458">
      <w:bodyDiv w:val="1"/>
      <w:marLeft w:val="0"/>
      <w:marRight w:val="0"/>
      <w:marTop w:val="0"/>
      <w:marBottom w:val="0"/>
      <w:divBdr>
        <w:top w:val="none" w:sz="0" w:space="0" w:color="auto"/>
        <w:left w:val="none" w:sz="0" w:space="0" w:color="auto"/>
        <w:bottom w:val="none" w:sz="0" w:space="0" w:color="auto"/>
        <w:right w:val="none" w:sz="0" w:space="0" w:color="auto"/>
      </w:divBdr>
    </w:div>
    <w:div w:id="1132946379">
      <w:bodyDiv w:val="1"/>
      <w:marLeft w:val="0"/>
      <w:marRight w:val="0"/>
      <w:marTop w:val="0"/>
      <w:marBottom w:val="0"/>
      <w:divBdr>
        <w:top w:val="none" w:sz="0" w:space="0" w:color="auto"/>
        <w:left w:val="none" w:sz="0" w:space="0" w:color="auto"/>
        <w:bottom w:val="none" w:sz="0" w:space="0" w:color="auto"/>
        <w:right w:val="none" w:sz="0" w:space="0" w:color="auto"/>
      </w:divBdr>
    </w:div>
    <w:div w:id="1143624115">
      <w:bodyDiv w:val="1"/>
      <w:marLeft w:val="0"/>
      <w:marRight w:val="0"/>
      <w:marTop w:val="0"/>
      <w:marBottom w:val="0"/>
      <w:divBdr>
        <w:top w:val="none" w:sz="0" w:space="0" w:color="auto"/>
        <w:left w:val="none" w:sz="0" w:space="0" w:color="auto"/>
        <w:bottom w:val="none" w:sz="0" w:space="0" w:color="auto"/>
        <w:right w:val="none" w:sz="0" w:space="0" w:color="auto"/>
      </w:divBdr>
      <w:divsChild>
        <w:div w:id="2077166224">
          <w:marLeft w:val="0"/>
          <w:marRight w:val="0"/>
          <w:marTop w:val="0"/>
          <w:marBottom w:val="0"/>
          <w:divBdr>
            <w:top w:val="none" w:sz="0" w:space="0" w:color="auto"/>
            <w:left w:val="none" w:sz="0" w:space="0" w:color="auto"/>
            <w:bottom w:val="none" w:sz="0" w:space="0" w:color="auto"/>
            <w:right w:val="none" w:sz="0" w:space="0" w:color="auto"/>
          </w:divBdr>
          <w:divsChild>
            <w:div w:id="2015718521">
              <w:marLeft w:val="0"/>
              <w:marRight w:val="0"/>
              <w:marTop w:val="0"/>
              <w:marBottom w:val="0"/>
              <w:divBdr>
                <w:top w:val="none" w:sz="0" w:space="0" w:color="auto"/>
                <w:left w:val="none" w:sz="0" w:space="0" w:color="auto"/>
                <w:bottom w:val="none" w:sz="0" w:space="0" w:color="auto"/>
                <w:right w:val="none" w:sz="0" w:space="0" w:color="auto"/>
              </w:divBdr>
              <w:divsChild>
                <w:div w:id="940646615">
                  <w:marLeft w:val="0"/>
                  <w:marRight w:val="0"/>
                  <w:marTop w:val="0"/>
                  <w:marBottom w:val="0"/>
                  <w:divBdr>
                    <w:top w:val="none" w:sz="0" w:space="0" w:color="auto"/>
                    <w:left w:val="none" w:sz="0" w:space="0" w:color="auto"/>
                    <w:bottom w:val="none" w:sz="0" w:space="0" w:color="auto"/>
                    <w:right w:val="none" w:sz="0" w:space="0" w:color="auto"/>
                  </w:divBdr>
                  <w:divsChild>
                    <w:div w:id="14353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30994">
      <w:bodyDiv w:val="1"/>
      <w:marLeft w:val="0"/>
      <w:marRight w:val="0"/>
      <w:marTop w:val="0"/>
      <w:marBottom w:val="0"/>
      <w:divBdr>
        <w:top w:val="none" w:sz="0" w:space="0" w:color="auto"/>
        <w:left w:val="none" w:sz="0" w:space="0" w:color="auto"/>
        <w:bottom w:val="none" w:sz="0" w:space="0" w:color="auto"/>
        <w:right w:val="none" w:sz="0" w:space="0" w:color="auto"/>
      </w:divBdr>
    </w:div>
    <w:div w:id="1200316255">
      <w:bodyDiv w:val="1"/>
      <w:marLeft w:val="0"/>
      <w:marRight w:val="0"/>
      <w:marTop w:val="0"/>
      <w:marBottom w:val="0"/>
      <w:divBdr>
        <w:top w:val="none" w:sz="0" w:space="0" w:color="auto"/>
        <w:left w:val="none" w:sz="0" w:space="0" w:color="auto"/>
        <w:bottom w:val="none" w:sz="0" w:space="0" w:color="auto"/>
        <w:right w:val="none" w:sz="0" w:space="0" w:color="auto"/>
      </w:divBdr>
    </w:div>
    <w:div w:id="1230576947">
      <w:bodyDiv w:val="1"/>
      <w:marLeft w:val="0"/>
      <w:marRight w:val="0"/>
      <w:marTop w:val="0"/>
      <w:marBottom w:val="0"/>
      <w:divBdr>
        <w:top w:val="none" w:sz="0" w:space="0" w:color="auto"/>
        <w:left w:val="none" w:sz="0" w:space="0" w:color="auto"/>
        <w:bottom w:val="none" w:sz="0" w:space="0" w:color="auto"/>
        <w:right w:val="none" w:sz="0" w:space="0" w:color="auto"/>
      </w:divBdr>
    </w:div>
    <w:div w:id="1284069463">
      <w:bodyDiv w:val="1"/>
      <w:marLeft w:val="0"/>
      <w:marRight w:val="0"/>
      <w:marTop w:val="0"/>
      <w:marBottom w:val="0"/>
      <w:divBdr>
        <w:top w:val="none" w:sz="0" w:space="0" w:color="auto"/>
        <w:left w:val="none" w:sz="0" w:space="0" w:color="auto"/>
        <w:bottom w:val="none" w:sz="0" w:space="0" w:color="auto"/>
        <w:right w:val="none" w:sz="0" w:space="0" w:color="auto"/>
      </w:divBdr>
    </w:div>
    <w:div w:id="1288586313">
      <w:bodyDiv w:val="1"/>
      <w:marLeft w:val="0"/>
      <w:marRight w:val="0"/>
      <w:marTop w:val="0"/>
      <w:marBottom w:val="0"/>
      <w:divBdr>
        <w:top w:val="none" w:sz="0" w:space="0" w:color="auto"/>
        <w:left w:val="none" w:sz="0" w:space="0" w:color="auto"/>
        <w:bottom w:val="none" w:sz="0" w:space="0" w:color="auto"/>
        <w:right w:val="none" w:sz="0" w:space="0" w:color="auto"/>
      </w:divBdr>
    </w:div>
    <w:div w:id="1291285669">
      <w:bodyDiv w:val="1"/>
      <w:marLeft w:val="0"/>
      <w:marRight w:val="0"/>
      <w:marTop w:val="0"/>
      <w:marBottom w:val="0"/>
      <w:divBdr>
        <w:top w:val="none" w:sz="0" w:space="0" w:color="auto"/>
        <w:left w:val="none" w:sz="0" w:space="0" w:color="auto"/>
        <w:bottom w:val="none" w:sz="0" w:space="0" w:color="auto"/>
        <w:right w:val="none" w:sz="0" w:space="0" w:color="auto"/>
      </w:divBdr>
    </w:div>
    <w:div w:id="1303653288">
      <w:bodyDiv w:val="1"/>
      <w:marLeft w:val="0"/>
      <w:marRight w:val="0"/>
      <w:marTop w:val="0"/>
      <w:marBottom w:val="0"/>
      <w:divBdr>
        <w:top w:val="none" w:sz="0" w:space="0" w:color="auto"/>
        <w:left w:val="none" w:sz="0" w:space="0" w:color="auto"/>
        <w:bottom w:val="none" w:sz="0" w:space="0" w:color="auto"/>
        <w:right w:val="none" w:sz="0" w:space="0" w:color="auto"/>
      </w:divBdr>
    </w:div>
    <w:div w:id="1312712823">
      <w:bodyDiv w:val="1"/>
      <w:marLeft w:val="0"/>
      <w:marRight w:val="0"/>
      <w:marTop w:val="0"/>
      <w:marBottom w:val="0"/>
      <w:divBdr>
        <w:top w:val="none" w:sz="0" w:space="0" w:color="auto"/>
        <w:left w:val="none" w:sz="0" w:space="0" w:color="auto"/>
        <w:bottom w:val="none" w:sz="0" w:space="0" w:color="auto"/>
        <w:right w:val="none" w:sz="0" w:space="0" w:color="auto"/>
      </w:divBdr>
      <w:divsChild>
        <w:div w:id="470443791">
          <w:marLeft w:val="0"/>
          <w:marRight w:val="0"/>
          <w:marTop w:val="0"/>
          <w:marBottom w:val="0"/>
          <w:divBdr>
            <w:top w:val="none" w:sz="0" w:space="0" w:color="auto"/>
            <w:left w:val="none" w:sz="0" w:space="0" w:color="auto"/>
            <w:bottom w:val="none" w:sz="0" w:space="0" w:color="auto"/>
            <w:right w:val="none" w:sz="0" w:space="0" w:color="auto"/>
          </w:divBdr>
          <w:divsChild>
            <w:div w:id="703361426">
              <w:marLeft w:val="0"/>
              <w:marRight w:val="0"/>
              <w:marTop w:val="0"/>
              <w:marBottom w:val="0"/>
              <w:divBdr>
                <w:top w:val="none" w:sz="0" w:space="0" w:color="auto"/>
                <w:left w:val="none" w:sz="0" w:space="0" w:color="auto"/>
                <w:bottom w:val="none" w:sz="0" w:space="0" w:color="auto"/>
                <w:right w:val="none" w:sz="0" w:space="0" w:color="auto"/>
              </w:divBdr>
              <w:divsChild>
                <w:div w:id="705445840">
                  <w:marLeft w:val="0"/>
                  <w:marRight w:val="0"/>
                  <w:marTop w:val="0"/>
                  <w:marBottom w:val="0"/>
                  <w:divBdr>
                    <w:top w:val="none" w:sz="0" w:space="0" w:color="auto"/>
                    <w:left w:val="none" w:sz="0" w:space="0" w:color="auto"/>
                    <w:bottom w:val="none" w:sz="0" w:space="0" w:color="auto"/>
                    <w:right w:val="none" w:sz="0" w:space="0" w:color="auto"/>
                  </w:divBdr>
                  <w:divsChild>
                    <w:div w:id="2548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103618">
      <w:bodyDiv w:val="1"/>
      <w:marLeft w:val="0"/>
      <w:marRight w:val="0"/>
      <w:marTop w:val="0"/>
      <w:marBottom w:val="0"/>
      <w:divBdr>
        <w:top w:val="none" w:sz="0" w:space="0" w:color="auto"/>
        <w:left w:val="none" w:sz="0" w:space="0" w:color="auto"/>
        <w:bottom w:val="none" w:sz="0" w:space="0" w:color="auto"/>
        <w:right w:val="none" w:sz="0" w:space="0" w:color="auto"/>
      </w:divBdr>
    </w:div>
    <w:div w:id="1359546661">
      <w:bodyDiv w:val="1"/>
      <w:marLeft w:val="0"/>
      <w:marRight w:val="0"/>
      <w:marTop w:val="0"/>
      <w:marBottom w:val="0"/>
      <w:divBdr>
        <w:top w:val="none" w:sz="0" w:space="0" w:color="auto"/>
        <w:left w:val="none" w:sz="0" w:space="0" w:color="auto"/>
        <w:bottom w:val="none" w:sz="0" w:space="0" w:color="auto"/>
        <w:right w:val="none" w:sz="0" w:space="0" w:color="auto"/>
      </w:divBdr>
    </w:div>
    <w:div w:id="1372801774">
      <w:bodyDiv w:val="1"/>
      <w:marLeft w:val="0"/>
      <w:marRight w:val="0"/>
      <w:marTop w:val="0"/>
      <w:marBottom w:val="0"/>
      <w:divBdr>
        <w:top w:val="none" w:sz="0" w:space="0" w:color="auto"/>
        <w:left w:val="none" w:sz="0" w:space="0" w:color="auto"/>
        <w:bottom w:val="none" w:sz="0" w:space="0" w:color="auto"/>
        <w:right w:val="none" w:sz="0" w:space="0" w:color="auto"/>
      </w:divBdr>
    </w:div>
    <w:div w:id="1387950527">
      <w:bodyDiv w:val="1"/>
      <w:marLeft w:val="0"/>
      <w:marRight w:val="0"/>
      <w:marTop w:val="0"/>
      <w:marBottom w:val="0"/>
      <w:divBdr>
        <w:top w:val="none" w:sz="0" w:space="0" w:color="auto"/>
        <w:left w:val="none" w:sz="0" w:space="0" w:color="auto"/>
        <w:bottom w:val="none" w:sz="0" w:space="0" w:color="auto"/>
        <w:right w:val="none" w:sz="0" w:space="0" w:color="auto"/>
      </w:divBdr>
    </w:div>
    <w:div w:id="1422331832">
      <w:bodyDiv w:val="1"/>
      <w:marLeft w:val="0"/>
      <w:marRight w:val="0"/>
      <w:marTop w:val="0"/>
      <w:marBottom w:val="0"/>
      <w:divBdr>
        <w:top w:val="none" w:sz="0" w:space="0" w:color="auto"/>
        <w:left w:val="none" w:sz="0" w:space="0" w:color="auto"/>
        <w:bottom w:val="none" w:sz="0" w:space="0" w:color="auto"/>
        <w:right w:val="none" w:sz="0" w:space="0" w:color="auto"/>
      </w:divBdr>
    </w:div>
    <w:div w:id="1445539835">
      <w:bodyDiv w:val="1"/>
      <w:marLeft w:val="0"/>
      <w:marRight w:val="0"/>
      <w:marTop w:val="0"/>
      <w:marBottom w:val="0"/>
      <w:divBdr>
        <w:top w:val="none" w:sz="0" w:space="0" w:color="auto"/>
        <w:left w:val="none" w:sz="0" w:space="0" w:color="auto"/>
        <w:bottom w:val="none" w:sz="0" w:space="0" w:color="auto"/>
        <w:right w:val="none" w:sz="0" w:space="0" w:color="auto"/>
      </w:divBdr>
    </w:div>
    <w:div w:id="1469394238">
      <w:bodyDiv w:val="1"/>
      <w:marLeft w:val="0"/>
      <w:marRight w:val="0"/>
      <w:marTop w:val="0"/>
      <w:marBottom w:val="0"/>
      <w:divBdr>
        <w:top w:val="none" w:sz="0" w:space="0" w:color="auto"/>
        <w:left w:val="none" w:sz="0" w:space="0" w:color="auto"/>
        <w:bottom w:val="none" w:sz="0" w:space="0" w:color="auto"/>
        <w:right w:val="none" w:sz="0" w:space="0" w:color="auto"/>
      </w:divBdr>
    </w:div>
    <w:div w:id="1479229171">
      <w:bodyDiv w:val="1"/>
      <w:marLeft w:val="0"/>
      <w:marRight w:val="0"/>
      <w:marTop w:val="0"/>
      <w:marBottom w:val="0"/>
      <w:divBdr>
        <w:top w:val="none" w:sz="0" w:space="0" w:color="auto"/>
        <w:left w:val="none" w:sz="0" w:space="0" w:color="auto"/>
        <w:bottom w:val="none" w:sz="0" w:space="0" w:color="auto"/>
        <w:right w:val="none" w:sz="0" w:space="0" w:color="auto"/>
      </w:divBdr>
    </w:div>
    <w:div w:id="1490363853">
      <w:bodyDiv w:val="1"/>
      <w:marLeft w:val="0"/>
      <w:marRight w:val="0"/>
      <w:marTop w:val="0"/>
      <w:marBottom w:val="0"/>
      <w:divBdr>
        <w:top w:val="none" w:sz="0" w:space="0" w:color="auto"/>
        <w:left w:val="none" w:sz="0" w:space="0" w:color="auto"/>
        <w:bottom w:val="none" w:sz="0" w:space="0" w:color="auto"/>
        <w:right w:val="none" w:sz="0" w:space="0" w:color="auto"/>
      </w:divBdr>
    </w:div>
    <w:div w:id="1501848181">
      <w:bodyDiv w:val="1"/>
      <w:marLeft w:val="0"/>
      <w:marRight w:val="0"/>
      <w:marTop w:val="0"/>
      <w:marBottom w:val="0"/>
      <w:divBdr>
        <w:top w:val="none" w:sz="0" w:space="0" w:color="auto"/>
        <w:left w:val="none" w:sz="0" w:space="0" w:color="auto"/>
        <w:bottom w:val="none" w:sz="0" w:space="0" w:color="auto"/>
        <w:right w:val="none" w:sz="0" w:space="0" w:color="auto"/>
      </w:divBdr>
    </w:div>
    <w:div w:id="1504394060">
      <w:bodyDiv w:val="1"/>
      <w:marLeft w:val="0"/>
      <w:marRight w:val="0"/>
      <w:marTop w:val="0"/>
      <w:marBottom w:val="0"/>
      <w:divBdr>
        <w:top w:val="none" w:sz="0" w:space="0" w:color="auto"/>
        <w:left w:val="none" w:sz="0" w:space="0" w:color="auto"/>
        <w:bottom w:val="none" w:sz="0" w:space="0" w:color="auto"/>
        <w:right w:val="none" w:sz="0" w:space="0" w:color="auto"/>
      </w:divBdr>
    </w:div>
    <w:div w:id="1515457989">
      <w:bodyDiv w:val="1"/>
      <w:marLeft w:val="0"/>
      <w:marRight w:val="0"/>
      <w:marTop w:val="0"/>
      <w:marBottom w:val="0"/>
      <w:divBdr>
        <w:top w:val="none" w:sz="0" w:space="0" w:color="auto"/>
        <w:left w:val="none" w:sz="0" w:space="0" w:color="auto"/>
        <w:bottom w:val="none" w:sz="0" w:space="0" w:color="auto"/>
        <w:right w:val="none" w:sz="0" w:space="0" w:color="auto"/>
      </w:divBdr>
      <w:divsChild>
        <w:div w:id="313606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152476">
      <w:bodyDiv w:val="1"/>
      <w:marLeft w:val="0"/>
      <w:marRight w:val="0"/>
      <w:marTop w:val="0"/>
      <w:marBottom w:val="0"/>
      <w:divBdr>
        <w:top w:val="none" w:sz="0" w:space="0" w:color="auto"/>
        <w:left w:val="none" w:sz="0" w:space="0" w:color="auto"/>
        <w:bottom w:val="none" w:sz="0" w:space="0" w:color="auto"/>
        <w:right w:val="none" w:sz="0" w:space="0" w:color="auto"/>
      </w:divBdr>
      <w:divsChild>
        <w:div w:id="816340387">
          <w:marLeft w:val="0"/>
          <w:marRight w:val="0"/>
          <w:marTop w:val="0"/>
          <w:marBottom w:val="0"/>
          <w:divBdr>
            <w:top w:val="none" w:sz="0" w:space="0" w:color="auto"/>
            <w:left w:val="none" w:sz="0" w:space="0" w:color="auto"/>
            <w:bottom w:val="none" w:sz="0" w:space="0" w:color="auto"/>
            <w:right w:val="none" w:sz="0" w:space="0" w:color="auto"/>
          </w:divBdr>
          <w:divsChild>
            <w:div w:id="832062423">
              <w:marLeft w:val="0"/>
              <w:marRight w:val="0"/>
              <w:marTop w:val="0"/>
              <w:marBottom w:val="0"/>
              <w:divBdr>
                <w:top w:val="none" w:sz="0" w:space="0" w:color="auto"/>
                <w:left w:val="none" w:sz="0" w:space="0" w:color="auto"/>
                <w:bottom w:val="none" w:sz="0" w:space="0" w:color="auto"/>
                <w:right w:val="none" w:sz="0" w:space="0" w:color="auto"/>
              </w:divBdr>
              <w:divsChild>
                <w:div w:id="166280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87193">
      <w:bodyDiv w:val="1"/>
      <w:marLeft w:val="0"/>
      <w:marRight w:val="0"/>
      <w:marTop w:val="0"/>
      <w:marBottom w:val="0"/>
      <w:divBdr>
        <w:top w:val="none" w:sz="0" w:space="0" w:color="auto"/>
        <w:left w:val="none" w:sz="0" w:space="0" w:color="auto"/>
        <w:bottom w:val="none" w:sz="0" w:space="0" w:color="auto"/>
        <w:right w:val="none" w:sz="0" w:space="0" w:color="auto"/>
      </w:divBdr>
    </w:div>
    <w:div w:id="1584532162">
      <w:bodyDiv w:val="1"/>
      <w:marLeft w:val="0"/>
      <w:marRight w:val="0"/>
      <w:marTop w:val="0"/>
      <w:marBottom w:val="0"/>
      <w:divBdr>
        <w:top w:val="none" w:sz="0" w:space="0" w:color="auto"/>
        <w:left w:val="none" w:sz="0" w:space="0" w:color="auto"/>
        <w:bottom w:val="none" w:sz="0" w:space="0" w:color="auto"/>
        <w:right w:val="none" w:sz="0" w:space="0" w:color="auto"/>
      </w:divBdr>
      <w:divsChild>
        <w:div w:id="88473973">
          <w:marLeft w:val="0"/>
          <w:marRight w:val="0"/>
          <w:marTop w:val="0"/>
          <w:marBottom w:val="0"/>
          <w:divBdr>
            <w:top w:val="none" w:sz="0" w:space="0" w:color="auto"/>
            <w:left w:val="none" w:sz="0" w:space="0" w:color="auto"/>
            <w:bottom w:val="none" w:sz="0" w:space="0" w:color="auto"/>
            <w:right w:val="none" w:sz="0" w:space="0" w:color="auto"/>
          </w:divBdr>
          <w:divsChild>
            <w:div w:id="2142573089">
              <w:marLeft w:val="0"/>
              <w:marRight w:val="0"/>
              <w:marTop w:val="0"/>
              <w:marBottom w:val="0"/>
              <w:divBdr>
                <w:top w:val="none" w:sz="0" w:space="0" w:color="auto"/>
                <w:left w:val="none" w:sz="0" w:space="0" w:color="auto"/>
                <w:bottom w:val="none" w:sz="0" w:space="0" w:color="auto"/>
                <w:right w:val="none" w:sz="0" w:space="0" w:color="auto"/>
              </w:divBdr>
              <w:divsChild>
                <w:div w:id="2001076577">
                  <w:marLeft w:val="0"/>
                  <w:marRight w:val="0"/>
                  <w:marTop w:val="0"/>
                  <w:marBottom w:val="0"/>
                  <w:divBdr>
                    <w:top w:val="none" w:sz="0" w:space="0" w:color="auto"/>
                    <w:left w:val="none" w:sz="0" w:space="0" w:color="auto"/>
                    <w:bottom w:val="none" w:sz="0" w:space="0" w:color="auto"/>
                    <w:right w:val="none" w:sz="0" w:space="0" w:color="auto"/>
                  </w:divBdr>
                  <w:divsChild>
                    <w:div w:id="205156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56039">
      <w:bodyDiv w:val="1"/>
      <w:marLeft w:val="0"/>
      <w:marRight w:val="0"/>
      <w:marTop w:val="0"/>
      <w:marBottom w:val="0"/>
      <w:divBdr>
        <w:top w:val="none" w:sz="0" w:space="0" w:color="auto"/>
        <w:left w:val="none" w:sz="0" w:space="0" w:color="auto"/>
        <w:bottom w:val="none" w:sz="0" w:space="0" w:color="auto"/>
        <w:right w:val="none" w:sz="0" w:space="0" w:color="auto"/>
      </w:divBdr>
      <w:divsChild>
        <w:div w:id="493643025">
          <w:marLeft w:val="0"/>
          <w:marRight w:val="0"/>
          <w:marTop w:val="0"/>
          <w:marBottom w:val="0"/>
          <w:divBdr>
            <w:top w:val="none" w:sz="0" w:space="0" w:color="auto"/>
            <w:left w:val="none" w:sz="0" w:space="0" w:color="auto"/>
            <w:bottom w:val="none" w:sz="0" w:space="0" w:color="auto"/>
            <w:right w:val="none" w:sz="0" w:space="0" w:color="auto"/>
          </w:divBdr>
          <w:divsChild>
            <w:div w:id="1497914248">
              <w:marLeft w:val="0"/>
              <w:marRight w:val="0"/>
              <w:marTop w:val="0"/>
              <w:marBottom w:val="0"/>
              <w:divBdr>
                <w:top w:val="none" w:sz="0" w:space="0" w:color="auto"/>
                <w:left w:val="none" w:sz="0" w:space="0" w:color="auto"/>
                <w:bottom w:val="none" w:sz="0" w:space="0" w:color="auto"/>
                <w:right w:val="none" w:sz="0" w:space="0" w:color="auto"/>
              </w:divBdr>
              <w:divsChild>
                <w:div w:id="379861712">
                  <w:marLeft w:val="0"/>
                  <w:marRight w:val="0"/>
                  <w:marTop w:val="0"/>
                  <w:marBottom w:val="0"/>
                  <w:divBdr>
                    <w:top w:val="none" w:sz="0" w:space="0" w:color="auto"/>
                    <w:left w:val="none" w:sz="0" w:space="0" w:color="auto"/>
                    <w:bottom w:val="none" w:sz="0" w:space="0" w:color="auto"/>
                    <w:right w:val="none" w:sz="0" w:space="0" w:color="auto"/>
                  </w:divBdr>
                  <w:divsChild>
                    <w:div w:id="17548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3872">
      <w:bodyDiv w:val="1"/>
      <w:marLeft w:val="0"/>
      <w:marRight w:val="0"/>
      <w:marTop w:val="0"/>
      <w:marBottom w:val="0"/>
      <w:divBdr>
        <w:top w:val="none" w:sz="0" w:space="0" w:color="auto"/>
        <w:left w:val="none" w:sz="0" w:space="0" w:color="auto"/>
        <w:bottom w:val="none" w:sz="0" w:space="0" w:color="auto"/>
        <w:right w:val="none" w:sz="0" w:space="0" w:color="auto"/>
      </w:divBdr>
    </w:div>
    <w:div w:id="1630435578">
      <w:bodyDiv w:val="1"/>
      <w:marLeft w:val="0"/>
      <w:marRight w:val="0"/>
      <w:marTop w:val="0"/>
      <w:marBottom w:val="0"/>
      <w:divBdr>
        <w:top w:val="none" w:sz="0" w:space="0" w:color="auto"/>
        <w:left w:val="none" w:sz="0" w:space="0" w:color="auto"/>
        <w:bottom w:val="none" w:sz="0" w:space="0" w:color="auto"/>
        <w:right w:val="none" w:sz="0" w:space="0" w:color="auto"/>
      </w:divBdr>
    </w:div>
    <w:div w:id="1632713621">
      <w:bodyDiv w:val="1"/>
      <w:marLeft w:val="0"/>
      <w:marRight w:val="0"/>
      <w:marTop w:val="0"/>
      <w:marBottom w:val="0"/>
      <w:divBdr>
        <w:top w:val="none" w:sz="0" w:space="0" w:color="auto"/>
        <w:left w:val="none" w:sz="0" w:space="0" w:color="auto"/>
        <w:bottom w:val="none" w:sz="0" w:space="0" w:color="auto"/>
        <w:right w:val="none" w:sz="0" w:space="0" w:color="auto"/>
      </w:divBdr>
    </w:div>
    <w:div w:id="1642298807">
      <w:bodyDiv w:val="1"/>
      <w:marLeft w:val="0"/>
      <w:marRight w:val="0"/>
      <w:marTop w:val="0"/>
      <w:marBottom w:val="0"/>
      <w:divBdr>
        <w:top w:val="none" w:sz="0" w:space="0" w:color="auto"/>
        <w:left w:val="none" w:sz="0" w:space="0" w:color="auto"/>
        <w:bottom w:val="none" w:sz="0" w:space="0" w:color="auto"/>
        <w:right w:val="none" w:sz="0" w:space="0" w:color="auto"/>
      </w:divBdr>
    </w:div>
    <w:div w:id="1651400831">
      <w:bodyDiv w:val="1"/>
      <w:marLeft w:val="0"/>
      <w:marRight w:val="0"/>
      <w:marTop w:val="0"/>
      <w:marBottom w:val="0"/>
      <w:divBdr>
        <w:top w:val="none" w:sz="0" w:space="0" w:color="auto"/>
        <w:left w:val="none" w:sz="0" w:space="0" w:color="auto"/>
        <w:bottom w:val="none" w:sz="0" w:space="0" w:color="auto"/>
        <w:right w:val="none" w:sz="0" w:space="0" w:color="auto"/>
      </w:divBdr>
      <w:divsChild>
        <w:div w:id="1539471064">
          <w:marLeft w:val="0"/>
          <w:marRight w:val="0"/>
          <w:marTop w:val="0"/>
          <w:marBottom w:val="0"/>
          <w:divBdr>
            <w:top w:val="none" w:sz="0" w:space="0" w:color="auto"/>
            <w:left w:val="none" w:sz="0" w:space="0" w:color="auto"/>
            <w:bottom w:val="none" w:sz="0" w:space="0" w:color="auto"/>
            <w:right w:val="none" w:sz="0" w:space="0" w:color="auto"/>
          </w:divBdr>
          <w:divsChild>
            <w:div w:id="2036038760">
              <w:marLeft w:val="0"/>
              <w:marRight w:val="0"/>
              <w:marTop w:val="0"/>
              <w:marBottom w:val="0"/>
              <w:divBdr>
                <w:top w:val="none" w:sz="0" w:space="0" w:color="auto"/>
                <w:left w:val="none" w:sz="0" w:space="0" w:color="auto"/>
                <w:bottom w:val="none" w:sz="0" w:space="0" w:color="auto"/>
                <w:right w:val="none" w:sz="0" w:space="0" w:color="auto"/>
              </w:divBdr>
              <w:divsChild>
                <w:div w:id="672486999">
                  <w:marLeft w:val="0"/>
                  <w:marRight w:val="0"/>
                  <w:marTop w:val="0"/>
                  <w:marBottom w:val="0"/>
                  <w:divBdr>
                    <w:top w:val="none" w:sz="0" w:space="0" w:color="auto"/>
                    <w:left w:val="none" w:sz="0" w:space="0" w:color="auto"/>
                    <w:bottom w:val="none" w:sz="0" w:space="0" w:color="auto"/>
                    <w:right w:val="none" w:sz="0" w:space="0" w:color="auto"/>
                  </w:divBdr>
                  <w:divsChild>
                    <w:div w:id="12185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597080">
      <w:bodyDiv w:val="1"/>
      <w:marLeft w:val="0"/>
      <w:marRight w:val="0"/>
      <w:marTop w:val="0"/>
      <w:marBottom w:val="0"/>
      <w:divBdr>
        <w:top w:val="none" w:sz="0" w:space="0" w:color="auto"/>
        <w:left w:val="none" w:sz="0" w:space="0" w:color="auto"/>
        <w:bottom w:val="none" w:sz="0" w:space="0" w:color="auto"/>
        <w:right w:val="none" w:sz="0" w:space="0" w:color="auto"/>
      </w:divBdr>
    </w:div>
    <w:div w:id="1670792950">
      <w:bodyDiv w:val="1"/>
      <w:marLeft w:val="0"/>
      <w:marRight w:val="0"/>
      <w:marTop w:val="0"/>
      <w:marBottom w:val="0"/>
      <w:divBdr>
        <w:top w:val="none" w:sz="0" w:space="0" w:color="auto"/>
        <w:left w:val="none" w:sz="0" w:space="0" w:color="auto"/>
        <w:bottom w:val="none" w:sz="0" w:space="0" w:color="auto"/>
        <w:right w:val="none" w:sz="0" w:space="0" w:color="auto"/>
      </w:divBdr>
    </w:div>
    <w:div w:id="1693602279">
      <w:bodyDiv w:val="1"/>
      <w:marLeft w:val="0"/>
      <w:marRight w:val="0"/>
      <w:marTop w:val="0"/>
      <w:marBottom w:val="0"/>
      <w:divBdr>
        <w:top w:val="none" w:sz="0" w:space="0" w:color="auto"/>
        <w:left w:val="none" w:sz="0" w:space="0" w:color="auto"/>
        <w:bottom w:val="none" w:sz="0" w:space="0" w:color="auto"/>
        <w:right w:val="none" w:sz="0" w:space="0" w:color="auto"/>
      </w:divBdr>
      <w:divsChild>
        <w:div w:id="813838492">
          <w:marLeft w:val="0"/>
          <w:marRight w:val="0"/>
          <w:marTop w:val="0"/>
          <w:marBottom w:val="0"/>
          <w:divBdr>
            <w:top w:val="none" w:sz="0" w:space="0" w:color="auto"/>
            <w:left w:val="none" w:sz="0" w:space="0" w:color="auto"/>
            <w:bottom w:val="none" w:sz="0" w:space="0" w:color="auto"/>
            <w:right w:val="none" w:sz="0" w:space="0" w:color="auto"/>
          </w:divBdr>
          <w:divsChild>
            <w:div w:id="1208882702">
              <w:marLeft w:val="0"/>
              <w:marRight w:val="0"/>
              <w:marTop w:val="0"/>
              <w:marBottom w:val="0"/>
              <w:divBdr>
                <w:top w:val="none" w:sz="0" w:space="0" w:color="auto"/>
                <w:left w:val="none" w:sz="0" w:space="0" w:color="auto"/>
                <w:bottom w:val="none" w:sz="0" w:space="0" w:color="auto"/>
                <w:right w:val="none" w:sz="0" w:space="0" w:color="auto"/>
              </w:divBdr>
              <w:divsChild>
                <w:div w:id="1313367242">
                  <w:marLeft w:val="0"/>
                  <w:marRight w:val="0"/>
                  <w:marTop w:val="0"/>
                  <w:marBottom w:val="0"/>
                  <w:divBdr>
                    <w:top w:val="none" w:sz="0" w:space="0" w:color="auto"/>
                    <w:left w:val="none" w:sz="0" w:space="0" w:color="auto"/>
                    <w:bottom w:val="none" w:sz="0" w:space="0" w:color="auto"/>
                    <w:right w:val="none" w:sz="0" w:space="0" w:color="auto"/>
                  </w:divBdr>
                  <w:divsChild>
                    <w:div w:id="4437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186476">
      <w:bodyDiv w:val="1"/>
      <w:marLeft w:val="0"/>
      <w:marRight w:val="0"/>
      <w:marTop w:val="0"/>
      <w:marBottom w:val="0"/>
      <w:divBdr>
        <w:top w:val="none" w:sz="0" w:space="0" w:color="auto"/>
        <w:left w:val="none" w:sz="0" w:space="0" w:color="auto"/>
        <w:bottom w:val="none" w:sz="0" w:space="0" w:color="auto"/>
        <w:right w:val="none" w:sz="0" w:space="0" w:color="auto"/>
      </w:divBdr>
    </w:div>
    <w:div w:id="1695305521">
      <w:bodyDiv w:val="1"/>
      <w:marLeft w:val="0"/>
      <w:marRight w:val="0"/>
      <w:marTop w:val="0"/>
      <w:marBottom w:val="0"/>
      <w:divBdr>
        <w:top w:val="none" w:sz="0" w:space="0" w:color="auto"/>
        <w:left w:val="none" w:sz="0" w:space="0" w:color="auto"/>
        <w:bottom w:val="none" w:sz="0" w:space="0" w:color="auto"/>
        <w:right w:val="none" w:sz="0" w:space="0" w:color="auto"/>
      </w:divBdr>
    </w:div>
    <w:div w:id="1698695130">
      <w:bodyDiv w:val="1"/>
      <w:marLeft w:val="0"/>
      <w:marRight w:val="0"/>
      <w:marTop w:val="0"/>
      <w:marBottom w:val="0"/>
      <w:divBdr>
        <w:top w:val="none" w:sz="0" w:space="0" w:color="auto"/>
        <w:left w:val="none" w:sz="0" w:space="0" w:color="auto"/>
        <w:bottom w:val="none" w:sz="0" w:space="0" w:color="auto"/>
        <w:right w:val="none" w:sz="0" w:space="0" w:color="auto"/>
      </w:divBdr>
      <w:divsChild>
        <w:div w:id="1169709952">
          <w:marLeft w:val="0"/>
          <w:marRight w:val="0"/>
          <w:marTop w:val="0"/>
          <w:marBottom w:val="0"/>
          <w:divBdr>
            <w:top w:val="none" w:sz="0" w:space="0" w:color="auto"/>
            <w:left w:val="none" w:sz="0" w:space="0" w:color="auto"/>
            <w:bottom w:val="none" w:sz="0" w:space="0" w:color="auto"/>
            <w:right w:val="none" w:sz="0" w:space="0" w:color="auto"/>
          </w:divBdr>
          <w:divsChild>
            <w:div w:id="1849562255">
              <w:marLeft w:val="0"/>
              <w:marRight w:val="0"/>
              <w:marTop w:val="0"/>
              <w:marBottom w:val="0"/>
              <w:divBdr>
                <w:top w:val="none" w:sz="0" w:space="0" w:color="auto"/>
                <w:left w:val="none" w:sz="0" w:space="0" w:color="auto"/>
                <w:bottom w:val="none" w:sz="0" w:space="0" w:color="auto"/>
                <w:right w:val="none" w:sz="0" w:space="0" w:color="auto"/>
              </w:divBdr>
              <w:divsChild>
                <w:div w:id="111021276">
                  <w:marLeft w:val="0"/>
                  <w:marRight w:val="0"/>
                  <w:marTop w:val="0"/>
                  <w:marBottom w:val="0"/>
                  <w:divBdr>
                    <w:top w:val="none" w:sz="0" w:space="0" w:color="auto"/>
                    <w:left w:val="none" w:sz="0" w:space="0" w:color="auto"/>
                    <w:bottom w:val="none" w:sz="0" w:space="0" w:color="auto"/>
                    <w:right w:val="none" w:sz="0" w:space="0" w:color="auto"/>
                  </w:divBdr>
                  <w:divsChild>
                    <w:div w:id="4969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102089">
      <w:bodyDiv w:val="1"/>
      <w:marLeft w:val="0"/>
      <w:marRight w:val="0"/>
      <w:marTop w:val="0"/>
      <w:marBottom w:val="0"/>
      <w:divBdr>
        <w:top w:val="none" w:sz="0" w:space="0" w:color="auto"/>
        <w:left w:val="none" w:sz="0" w:space="0" w:color="auto"/>
        <w:bottom w:val="none" w:sz="0" w:space="0" w:color="auto"/>
        <w:right w:val="none" w:sz="0" w:space="0" w:color="auto"/>
      </w:divBdr>
    </w:div>
    <w:div w:id="1709837500">
      <w:bodyDiv w:val="1"/>
      <w:marLeft w:val="0"/>
      <w:marRight w:val="0"/>
      <w:marTop w:val="0"/>
      <w:marBottom w:val="0"/>
      <w:divBdr>
        <w:top w:val="none" w:sz="0" w:space="0" w:color="auto"/>
        <w:left w:val="none" w:sz="0" w:space="0" w:color="auto"/>
        <w:bottom w:val="none" w:sz="0" w:space="0" w:color="auto"/>
        <w:right w:val="none" w:sz="0" w:space="0" w:color="auto"/>
      </w:divBdr>
      <w:divsChild>
        <w:div w:id="901869665">
          <w:marLeft w:val="-720"/>
          <w:marRight w:val="0"/>
          <w:marTop w:val="0"/>
          <w:marBottom w:val="0"/>
          <w:divBdr>
            <w:top w:val="none" w:sz="0" w:space="0" w:color="auto"/>
            <w:left w:val="none" w:sz="0" w:space="0" w:color="auto"/>
            <w:bottom w:val="none" w:sz="0" w:space="0" w:color="auto"/>
            <w:right w:val="none" w:sz="0" w:space="0" w:color="auto"/>
          </w:divBdr>
        </w:div>
      </w:divsChild>
    </w:div>
    <w:div w:id="1712339263">
      <w:bodyDiv w:val="1"/>
      <w:marLeft w:val="0"/>
      <w:marRight w:val="0"/>
      <w:marTop w:val="0"/>
      <w:marBottom w:val="0"/>
      <w:divBdr>
        <w:top w:val="none" w:sz="0" w:space="0" w:color="auto"/>
        <w:left w:val="none" w:sz="0" w:space="0" w:color="auto"/>
        <w:bottom w:val="none" w:sz="0" w:space="0" w:color="auto"/>
        <w:right w:val="none" w:sz="0" w:space="0" w:color="auto"/>
      </w:divBdr>
    </w:div>
    <w:div w:id="1734280759">
      <w:bodyDiv w:val="1"/>
      <w:marLeft w:val="0"/>
      <w:marRight w:val="0"/>
      <w:marTop w:val="0"/>
      <w:marBottom w:val="0"/>
      <w:divBdr>
        <w:top w:val="none" w:sz="0" w:space="0" w:color="auto"/>
        <w:left w:val="none" w:sz="0" w:space="0" w:color="auto"/>
        <w:bottom w:val="none" w:sz="0" w:space="0" w:color="auto"/>
        <w:right w:val="none" w:sz="0" w:space="0" w:color="auto"/>
      </w:divBdr>
    </w:div>
    <w:div w:id="1734817670">
      <w:bodyDiv w:val="1"/>
      <w:marLeft w:val="0"/>
      <w:marRight w:val="0"/>
      <w:marTop w:val="0"/>
      <w:marBottom w:val="0"/>
      <w:divBdr>
        <w:top w:val="none" w:sz="0" w:space="0" w:color="auto"/>
        <w:left w:val="none" w:sz="0" w:space="0" w:color="auto"/>
        <w:bottom w:val="none" w:sz="0" w:space="0" w:color="auto"/>
        <w:right w:val="none" w:sz="0" w:space="0" w:color="auto"/>
      </w:divBdr>
    </w:div>
    <w:div w:id="1763531801">
      <w:bodyDiv w:val="1"/>
      <w:marLeft w:val="0"/>
      <w:marRight w:val="0"/>
      <w:marTop w:val="0"/>
      <w:marBottom w:val="0"/>
      <w:divBdr>
        <w:top w:val="none" w:sz="0" w:space="0" w:color="auto"/>
        <w:left w:val="none" w:sz="0" w:space="0" w:color="auto"/>
        <w:bottom w:val="none" w:sz="0" w:space="0" w:color="auto"/>
        <w:right w:val="none" w:sz="0" w:space="0" w:color="auto"/>
      </w:divBdr>
      <w:divsChild>
        <w:div w:id="1290041859">
          <w:marLeft w:val="0"/>
          <w:marRight w:val="0"/>
          <w:marTop w:val="0"/>
          <w:marBottom w:val="0"/>
          <w:divBdr>
            <w:top w:val="none" w:sz="0" w:space="0" w:color="auto"/>
            <w:left w:val="none" w:sz="0" w:space="0" w:color="auto"/>
            <w:bottom w:val="none" w:sz="0" w:space="0" w:color="auto"/>
            <w:right w:val="none" w:sz="0" w:space="0" w:color="auto"/>
          </w:divBdr>
          <w:divsChild>
            <w:div w:id="239340540">
              <w:marLeft w:val="0"/>
              <w:marRight w:val="0"/>
              <w:marTop w:val="0"/>
              <w:marBottom w:val="0"/>
              <w:divBdr>
                <w:top w:val="none" w:sz="0" w:space="0" w:color="auto"/>
                <w:left w:val="none" w:sz="0" w:space="0" w:color="auto"/>
                <w:bottom w:val="none" w:sz="0" w:space="0" w:color="auto"/>
                <w:right w:val="none" w:sz="0" w:space="0" w:color="auto"/>
              </w:divBdr>
              <w:divsChild>
                <w:div w:id="1211958353">
                  <w:marLeft w:val="0"/>
                  <w:marRight w:val="0"/>
                  <w:marTop w:val="0"/>
                  <w:marBottom w:val="0"/>
                  <w:divBdr>
                    <w:top w:val="none" w:sz="0" w:space="0" w:color="auto"/>
                    <w:left w:val="none" w:sz="0" w:space="0" w:color="auto"/>
                    <w:bottom w:val="none" w:sz="0" w:space="0" w:color="auto"/>
                    <w:right w:val="none" w:sz="0" w:space="0" w:color="auto"/>
                  </w:divBdr>
                  <w:divsChild>
                    <w:div w:id="11898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5256">
      <w:bodyDiv w:val="1"/>
      <w:marLeft w:val="0"/>
      <w:marRight w:val="0"/>
      <w:marTop w:val="0"/>
      <w:marBottom w:val="0"/>
      <w:divBdr>
        <w:top w:val="none" w:sz="0" w:space="0" w:color="auto"/>
        <w:left w:val="none" w:sz="0" w:space="0" w:color="auto"/>
        <w:bottom w:val="none" w:sz="0" w:space="0" w:color="auto"/>
        <w:right w:val="none" w:sz="0" w:space="0" w:color="auto"/>
      </w:divBdr>
    </w:div>
    <w:div w:id="1781754620">
      <w:bodyDiv w:val="1"/>
      <w:marLeft w:val="0"/>
      <w:marRight w:val="0"/>
      <w:marTop w:val="0"/>
      <w:marBottom w:val="0"/>
      <w:divBdr>
        <w:top w:val="none" w:sz="0" w:space="0" w:color="auto"/>
        <w:left w:val="none" w:sz="0" w:space="0" w:color="auto"/>
        <w:bottom w:val="none" w:sz="0" w:space="0" w:color="auto"/>
        <w:right w:val="none" w:sz="0" w:space="0" w:color="auto"/>
      </w:divBdr>
    </w:div>
    <w:div w:id="1808549860">
      <w:bodyDiv w:val="1"/>
      <w:marLeft w:val="0"/>
      <w:marRight w:val="0"/>
      <w:marTop w:val="0"/>
      <w:marBottom w:val="0"/>
      <w:divBdr>
        <w:top w:val="none" w:sz="0" w:space="0" w:color="auto"/>
        <w:left w:val="none" w:sz="0" w:space="0" w:color="auto"/>
        <w:bottom w:val="none" w:sz="0" w:space="0" w:color="auto"/>
        <w:right w:val="none" w:sz="0" w:space="0" w:color="auto"/>
      </w:divBdr>
      <w:divsChild>
        <w:div w:id="923876295">
          <w:marLeft w:val="0"/>
          <w:marRight w:val="0"/>
          <w:marTop w:val="0"/>
          <w:marBottom w:val="0"/>
          <w:divBdr>
            <w:top w:val="none" w:sz="0" w:space="0" w:color="auto"/>
            <w:left w:val="none" w:sz="0" w:space="0" w:color="auto"/>
            <w:bottom w:val="none" w:sz="0" w:space="0" w:color="auto"/>
            <w:right w:val="none" w:sz="0" w:space="0" w:color="auto"/>
          </w:divBdr>
          <w:divsChild>
            <w:div w:id="1503928073">
              <w:marLeft w:val="0"/>
              <w:marRight w:val="0"/>
              <w:marTop w:val="0"/>
              <w:marBottom w:val="0"/>
              <w:divBdr>
                <w:top w:val="none" w:sz="0" w:space="0" w:color="auto"/>
                <w:left w:val="none" w:sz="0" w:space="0" w:color="auto"/>
                <w:bottom w:val="none" w:sz="0" w:space="0" w:color="auto"/>
                <w:right w:val="none" w:sz="0" w:space="0" w:color="auto"/>
              </w:divBdr>
              <w:divsChild>
                <w:div w:id="607279870">
                  <w:marLeft w:val="0"/>
                  <w:marRight w:val="0"/>
                  <w:marTop w:val="0"/>
                  <w:marBottom w:val="0"/>
                  <w:divBdr>
                    <w:top w:val="none" w:sz="0" w:space="0" w:color="auto"/>
                    <w:left w:val="none" w:sz="0" w:space="0" w:color="auto"/>
                    <w:bottom w:val="none" w:sz="0" w:space="0" w:color="auto"/>
                    <w:right w:val="none" w:sz="0" w:space="0" w:color="auto"/>
                  </w:divBdr>
                  <w:divsChild>
                    <w:div w:id="7438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567934">
      <w:bodyDiv w:val="1"/>
      <w:marLeft w:val="0"/>
      <w:marRight w:val="0"/>
      <w:marTop w:val="0"/>
      <w:marBottom w:val="0"/>
      <w:divBdr>
        <w:top w:val="none" w:sz="0" w:space="0" w:color="auto"/>
        <w:left w:val="none" w:sz="0" w:space="0" w:color="auto"/>
        <w:bottom w:val="none" w:sz="0" w:space="0" w:color="auto"/>
        <w:right w:val="none" w:sz="0" w:space="0" w:color="auto"/>
      </w:divBdr>
    </w:div>
    <w:div w:id="1887062043">
      <w:bodyDiv w:val="1"/>
      <w:marLeft w:val="0"/>
      <w:marRight w:val="0"/>
      <w:marTop w:val="0"/>
      <w:marBottom w:val="0"/>
      <w:divBdr>
        <w:top w:val="none" w:sz="0" w:space="0" w:color="auto"/>
        <w:left w:val="none" w:sz="0" w:space="0" w:color="auto"/>
        <w:bottom w:val="none" w:sz="0" w:space="0" w:color="auto"/>
        <w:right w:val="none" w:sz="0" w:space="0" w:color="auto"/>
      </w:divBdr>
      <w:divsChild>
        <w:div w:id="1958101393">
          <w:marLeft w:val="0"/>
          <w:marRight w:val="0"/>
          <w:marTop w:val="0"/>
          <w:marBottom w:val="0"/>
          <w:divBdr>
            <w:top w:val="none" w:sz="0" w:space="0" w:color="auto"/>
            <w:left w:val="none" w:sz="0" w:space="0" w:color="auto"/>
            <w:bottom w:val="none" w:sz="0" w:space="0" w:color="auto"/>
            <w:right w:val="none" w:sz="0" w:space="0" w:color="auto"/>
          </w:divBdr>
          <w:divsChild>
            <w:div w:id="696613916">
              <w:marLeft w:val="0"/>
              <w:marRight w:val="0"/>
              <w:marTop w:val="0"/>
              <w:marBottom w:val="0"/>
              <w:divBdr>
                <w:top w:val="none" w:sz="0" w:space="0" w:color="auto"/>
                <w:left w:val="none" w:sz="0" w:space="0" w:color="auto"/>
                <w:bottom w:val="none" w:sz="0" w:space="0" w:color="auto"/>
                <w:right w:val="none" w:sz="0" w:space="0" w:color="auto"/>
              </w:divBdr>
              <w:divsChild>
                <w:div w:id="40330625">
                  <w:marLeft w:val="0"/>
                  <w:marRight w:val="0"/>
                  <w:marTop w:val="0"/>
                  <w:marBottom w:val="0"/>
                  <w:divBdr>
                    <w:top w:val="none" w:sz="0" w:space="0" w:color="auto"/>
                    <w:left w:val="none" w:sz="0" w:space="0" w:color="auto"/>
                    <w:bottom w:val="none" w:sz="0" w:space="0" w:color="auto"/>
                    <w:right w:val="none" w:sz="0" w:space="0" w:color="auto"/>
                  </w:divBdr>
                  <w:divsChild>
                    <w:div w:id="19947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505649">
      <w:bodyDiv w:val="1"/>
      <w:marLeft w:val="0"/>
      <w:marRight w:val="0"/>
      <w:marTop w:val="0"/>
      <w:marBottom w:val="0"/>
      <w:divBdr>
        <w:top w:val="none" w:sz="0" w:space="0" w:color="auto"/>
        <w:left w:val="none" w:sz="0" w:space="0" w:color="auto"/>
        <w:bottom w:val="none" w:sz="0" w:space="0" w:color="auto"/>
        <w:right w:val="none" w:sz="0" w:space="0" w:color="auto"/>
      </w:divBdr>
    </w:div>
    <w:div w:id="1932274588">
      <w:bodyDiv w:val="1"/>
      <w:marLeft w:val="0"/>
      <w:marRight w:val="0"/>
      <w:marTop w:val="0"/>
      <w:marBottom w:val="0"/>
      <w:divBdr>
        <w:top w:val="none" w:sz="0" w:space="0" w:color="auto"/>
        <w:left w:val="none" w:sz="0" w:space="0" w:color="auto"/>
        <w:bottom w:val="none" w:sz="0" w:space="0" w:color="auto"/>
        <w:right w:val="none" w:sz="0" w:space="0" w:color="auto"/>
      </w:divBdr>
      <w:divsChild>
        <w:div w:id="1180580491">
          <w:marLeft w:val="0"/>
          <w:marRight w:val="0"/>
          <w:marTop w:val="0"/>
          <w:marBottom w:val="0"/>
          <w:divBdr>
            <w:top w:val="none" w:sz="0" w:space="0" w:color="auto"/>
            <w:left w:val="none" w:sz="0" w:space="0" w:color="auto"/>
            <w:bottom w:val="none" w:sz="0" w:space="0" w:color="auto"/>
            <w:right w:val="none" w:sz="0" w:space="0" w:color="auto"/>
          </w:divBdr>
          <w:divsChild>
            <w:div w:id="1156413437">
              <w:marLeft w:val="0"/>
              <w:marRight w:val="0"/>
              <w:marTop w:val="0"/>
              <w:marBottom w:val="0"/>
              <w:divBdr>
                <w:top w:val="none" w:sz="0" w:space="0" w:color="auto"/>
                <w:left w:val="none" w:sz="0" w:space="0" w:color="auto"/>
                <w:bottom w:val="none" w:sz="0" w:space="0" w:color="auto"/>
                <w:right w:val="none" w:sz="0" w:space="0" w:color="auto"/>
              </w:divBdr>
              <w:divsChild>
                <w:div w:id="701246609">
                  <w:marLeft w:val="0"/>
                  <w:marRight w:val="0"/>
                  <w:marTop w:val="0"/>
                  <w:marBottom w:val="0"/>
                  <w:divBdr>
                    <w:top w:val="none" w:sz="0" w:space="0" w:color="auto"/>
                    <w:left w:val="none" w:sz="0" w:space="0" w:color="auto"/>
                    <w:bottom w:val="none" w:sz="0" w:space="0" w:color="auto"/>
                    <w:right w:val="none" w:sz="0" w:space="0" w:color="auto"/>
                  </w:divBdr>
                  <w:divsChild>
                    <w:div w:id="176510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30198">
      <w:bodyDiv w:val="1"/>
      <w:marLeft w:val="0"/>
      <w:marRight w:val="0"/>
      <w:marTop w:val="0"/>
      <w:marBottom w:val="0"/>
      <w:divBdr>
        <w:top w:val="none" w:sz="0" w:space="0" w:color="auto"/>
        <w:left w:val="none" w:sz="0" w:space="0" w:color="auto"/>
        <w:bottom w:val="none" w:sz="0" w:space="0" w:color="auto"/>
        <w:right w:val="none" w:sz="0" w:space="0" w:color="auto"/>
      </w:divBdr>
    </w:div>
    <w:div w:id="2007321415">
      <w:bodyDiv w:val="1"/>
      <w:marLeft w:val="0"/>
      <w:marRight w:val="0"/>
      <w:marTop w:val="0"/>
      <w:marBottom w:val="0"/>
      <w:divBdr>
        <w:top w:val="none" w:sz="0" w:space="0" w:color="auto"/>
        <w:left w:val="none" w:sz="0" w:space="0" w:color="auto"/>
        <w:bottom w:val="none" w:sz="0" w:space="0" w:color="auto"/>
        <w:right w:val="none" w:sz="0" w:space="0" w:color="auto"/>
      </w:divBdr>
      <w:divsChild>
        <w:div w:id="463815467">
          <w:marLeft w:val="-720"/>
          <w:marRight w:val="0"/>
          <w:marTop w:val="0"/>
          <w:marBottom w:val="0"/>
          <w:divBdr>
            <w:top w:val="none" w:sz="0" w:space="0" w:color="auto"/>
            <w:left w:val="none" w:sz="0" w:space="0" w:color="auto"/>
            <w:bottom w:val="none" w:sz="0" w:space="0" w:color="auto"/>
            <w:right w:val="none" w:sz="0" w:space="0" w:color="auto"/>
          </w:divBdr>
        </w:div>
      </w:divsChild>
    </w:div>
    <w:div w:id="2017224033">
      <w:bodyDiv w:val="1"/>
      <w:marLeft w:val="0"/>
      <w:marRight w:val="0"/>
      <w:marTop w:val="0"/>
      <w:marBottom w:val="0"/>
      <w:divBdr>
        <w:top w:val="none" w:sz="0" w:space="0" w:color="auto"/>
        <w:left w:val="none" w:sz="0" w:space="0" w:color="auto"/>
        <w:bottom w:val="none" w:sz="0" w:space="0" w:color="auto"/>
        <w:right w:val="none" w:sz="0" w:space="0" w:color="auto"/>
      </w:divBdr>
    </w:div>
    <w:div w:id="2030912998">
      <w:bodyDiv w:val="1"/>
      <w:marLeft w:val="0"/>
      <w:marRight w:val="0"/>
      <w:marTop w:val="0"/>
      <w:marBottom w:val="0"/>
      <w:divBdr>
        <w:top w:val="none" w:sz="0" w:space="0" w:color="auto"/>
        <w:left w:val="none" w:sz="0" w:space="0" w:color="auto"/>
        <w:bottom w:val="none" w:sz="0" w:space="0" w:color="auto"/>
        <w:right w:val="none" w:sz="0" w:space="0" w:color="auto"/>
      </w:divBdr>
    </w:div>
    <w:div w:id="2046562905">
      <w:bodyDiv w:val="1"/>
      <w:marLeft w:val="0"/>
      <w:marRight w:val="0"/>
      <w:marTop w:val="0"/>
      <w:marBottom w:val="0"/>
      <w:divBdr>
        <w:top w:val="none" w:sz="0" w:space="0" w:color="auto"/>
        <w:left w:val="none" w:sz="0" w:space="0" w:color="auto"/>
        <w:bottom w:val="none" w:sz="0" w:space="0" w:color="auto"/>
        <w:right w:val="none" w:sz="0" w:space="0" w:color="auto"/>
      </w:divBdr>
    </w:div>
    <w:div w:id="2053337861">
      <w:bodyDiv w:val="1"/>
      <w:marLeft w:val="0"/>
      <w:marRight w:val="0"/>
      <w:marTop w:val="0"/>
      <w:marBottom w:val="0"/>
      <w:divBdr>
        <w:top w:val="none" w:sz="0" w:space="0" w:color="auto"/>
        <w:left w:val="none" w:sz="0" w:space="0" w:color="auto"/>
        <w:bottom w:val="none" w:sz="0" w:space="0" w:color="auto"/>
        <w:right w:val="none" w:sz="0" w:space="0" w:color="auto"/>
      </w:divBdr>
    </w:div>
    <w:div w:id="2067726736">
      <w:bodyDiv w:val="1"/>
      <w:marLeft w:val="0"/>
      <w:marRight w:val="0"/>
      <w:marTop w:val="0"/>
      <w:marBottom w:val="0"/>
      <w:divBdr>
        <w:top w:val="none" w:sz="0" w:space="0" w:color="auto"/>
        <w:left w:val="none" w:sz="0" w:space="0" w:color="auto"/>
        <w:bottom w:val="none" w:sz="0" w:space="0" w:color="auto"/>
        <w:right w:val="none" w:sz="0" w:space="0" w:color="auto"/>
      </w:divBdr>
    </w:div>
    <w:div w:id="2100520515">
      <w:bodyDiv w:val="1"/>
      <w:marLeft w:val="0"/>
      <w:marRight w:val="0"/>
      <w:marTop w:val="0"/>
      <w:marBottom w:val="0"/>
      <w:divBdr>
        <w:top w:val="none" w:sz="0" w:space="0" w:color="auto"/>
        <w:left w:val="none" w:sz="0" w:space="0" w:color="auto"/>
        <w:bottom w:val="none" w:sz="0" w:space="0" w:color="auto"/>
        <w:right w:val="none" w:sz="0" w:space="0" w:color="auto"/>
      </w:divBdr>
      <w:divsChild>
        <w:div w:id="403798743">
          <w:marLeft w:val="547"/>
          <w:marRight w:val="0"/>
          <w:marTop w:val="0"/>
          <w:marBottom w:val="0"/>
          <w:divBdr>
            <w:top w:val="none" w:sz="0" w:space="0" w:color="auto"/>
            <w:left w:val="none" w:sz="0" w:space="0" w:color="auto"/>
            <w:bottom w:val="none" w:sz="0" w:space="0" w:color="auto"/>
            <w:right w:val="none" w:sz="0" w:space="0" w:color="auto"/>
          </w:divBdr>
        </w:div>
        <w:div w:id="413162583">
          <w:marLeft w:val="547"/>
          <w:marRight w:val="0"/>
          <w:marTop w:val="0"/>
          <w:marBottom w:val="0"/>
          <w:divBdr>
            <w:top w:val="none" w:sz="0" w:space="0" w:color="auto"/>
            <w:left w:val="none" w:sz="0" w:space="0" w:color="auto"/>
            <w:bottom w:val="none" w:sz="0" w:space="0" w:color="auto"/>
            <w:right w:val="none" w:sz="0" w:space="0" w:color="auto"/>
          </w:divBdr>
        </w:div>
        <w:div w:id="469059919">
          <w:marLeft w:val="1166"/>
          <w:marRight w:val="0"/>
          <w:marTop w:val="0"/>
          <w:marBottom w:val="0"/>
          <w:divBdr>
            <w:top w:val="none" w:sz="0" w:space="0" w:color="auto"/>
            <w:left w:val="none" w:sz="0" w:space="0" w:color="auto"/>
            <w:bottom w:val="none" w:sz="0" w:space="0" w:color="auto"/>
            <w:right w:val="none" w:sz="0" w:space="0" w:color="auto"/>
          </w:divBdr>
        </w:div>
        <w:div w:id="835606160">
          <w:marLeft w:val="1166"/>
          <w:marRight w:val="0"/>
          <w:marTop w:val="0"/>
          <w:marBottom w:val="0"/>
          <w:divBdr>
            <w:top w:val="none" w:sz="0" w:space="0" w:color="auto"/>
            <w:left w:val="none" w:sz="0" w:space="0" w:color="auto"/>
            <w:bottom w:val="none" w:sz="0" w:space="0" w:color="auto"/>
            <w:right w:val="none" w:sz="0" w:space="0" w:color="auto"/>
          </w:divBdr>
        </w:div>
        <w:div w:id="1107312130">
          <w:marLeft w:val="1166"/>
          <w:marRight w:val="0"/>
          <w:marTop w:val="0"/>
          <w:marBottom w:val="0"/>
          <w:divBdr>
            <w:top w:val="none" w:sz="0" w:space="0" w:color="auto"/>
            <w:left w:val="none" w:sz="0" w:space="0" w:color="auto"/>
            <w:bottom w:val="none" w:sz="0" w:space="0" w:color="auto"/>
            <w:right w:val="none" w:sz="0" w:space="0" w:color="auto"/>
          </w:divBdr>
        </w:div>
        <w:div w:id="1274703141">
          <w:marLeft w:val="547"/>
          <w:marRight w:val="0"/>
          <w:marTop w:val="0"/>
          <w:marBottom w:val="0"/>
          <w:divBdr>
            <w:top w:val="none" w:sz="0" w:space="0" w:color="auto"/>
            <w:left w:val="none" w:sz="0" w:space="0" w:color="auto"/>
            <w:bottom w:val="none" w:sz="0" w:space="0" w:color="auto"/>
            <w:right w:val="none" w:sz="0" w:space="0" w:color="auto"/>
          </w:divBdr>
        </w:div>
        <w:div w:id="1353726199">
          <w:marLeft w:val="547"/>
          <w:marRight w:val="0"/>
          <w:marTop w:val="0"/>
          <w:marBottom w:val="0"/>
          <w:divBdr>
            <w:top w:val="none" w:sz="0" w:space="0" w:color="auto"/>
            <w:left w:val="none" w:sz="0" w:space="0" w:color="auto"/>
            <w:bottom w:val="none" w:sz="0" w:space="0" w:color="auto"/>
            <w:right w:val="none" w:sz="0" w:space="0" w:color="auto"/>
          </w:divBdr>
        </w:div>
        <w:div w:id="1580479118">
          <w:marLeft w:val="547"/>
          <w:marRight w:val="0"/>
          <w:marTop w:val="0"/>
          <w:marBottom w:val="0"/>
          <w:divBdr>
            <w:top w:val="none" w:sz="0" w:space="0" w:color="auto"/>
            <w:left w:val="none" w:sz="0" w:space="0" w:color="auto"/>
            <w:bottom w:val="none" w:sz="0" w:space="0" w:color="auto"/>
            <w:right w:val="none" w:sz="0" w:space="0" w:color="auto"/>
          </w:divBdr>
        </w:div>
        <w:div w:id="1826314716">
          <w:marLeft w:val="1166"/>
          <w:marRight w:val="0"/>
          <w:marTop w:val="0"/>
          <w:marBottom w:val="0"/>
          <w:divBdr>
            <w:top w:val="none" w:sz="0" w:space="0" w:color="auto"/>
            <w:left w:val="none" w:sz="0" w:space="0" w:color="auto"/>
            <w:bottom w:val="none" w:sz="0" w:space="0" w:color="auto"/>
            <w:right w:val="none" w:sz="0" w:space="0" w:color="auto"/>
          </w:divBdr>
        </w:div>
        <w:div w:id="2031057461">
          <w:marLeft w:val="1166"/>
          <w:marRight w:val="0"/>
          <w:marTop w:val="0"/>
          <w:marBottom w:val="0"/>
          <w:divBdr>
            <w:top w:val="none" w:sz="0" w:space="0" w:color="auto"/>
            <w:left w:val="none" w:sz="0" w:space="0" w:color="auto"/>
            <w:bottom w:val="none" w:sz="0" w:space="0" w:color="auto"/>
            <w:right w:val="none" w:sz="0" w:space="0" w:color="auto"/>
          </w:divBdr>
        </w:div>
      </w:divsChild>
    </w:div>
    <w:div w:id="2112895078">
      <w:bodyDiv w:val="1"/>
      <w:marLeft w:val="0"/>
      <w:marRight w:val="0"/>
      <w:marTop w:val="0"/>
      <w:marBottom w:val="0"/>
      <w:divBdr>
        <w:top w:val="none" w:sz="0" w:space="0" w:color="auto"/>
        <w:left w:val="none" w:sz="0" w:space="0" w:color="auto"/>
        <w:bottom w:val="none" w:sz="0" w:space="0" w:color="auto"/>
        <w:right w:val="none" w:sz="0" w:space="0" w:color="auto"/>
      </w:divBdr>
    </w:div>
    <w:div w:id="2119442449">
      <w:bodyDiv w:val="1"/>
      <w:marLeft w:val="0"/>
      <w:marRight w:val="0"/>
      <w:marTop w:val="0"/>
      <w:marBottom w:val="0"/>
      <w:divBdr>
        <w:top w:val="none" w:sz="0" w:space="0" w:color="auto"/>
        <w:left w:val="none" w:sz="0" w:space="0" w:color="auto"/>
        <w:bottom w:val="none" w:sz="0" w:space="0" w:color="auto"/>
        <w:right w:val="none" w:sz="0" w:space="0" w:color="auto"/>
      </w:divBdr>
    </w:div>
    <w:div w:id="212723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gfs.net/system/files/import/ngfs/medias/documents/ngfs_occasional_paper_green-scorpion_macrocriticality_nature_for_finance.pdf?" TargetMode="External"/><Relationship Id="rId2" Type="http://schemas.openxmlformats.org/officeDocument/2006/relationships/hyperlink" Target="https://www.pwc.com/gx/en/strategy-and-business/content/sbpwc-2023-04-19-Managing-nature-risks-v2.pdf" TargetMode="External"/><Relationship Id="rId1" Type="http://schemas.openxmlformats.org/officeDocument/2006/relationships/hyperlink" Target="https://www.swissre.com/institute/research/sigma-research/sigma-2025-01-natural-catastrophes-trend.html?" TargetMode="External"/><Relationship Id="rId5" Type="http://schemas.openxmlformats.org/officeDocument/2006/relationships/hyperlink" Target="https://www.unepfi.org/industries/insurance/breaking-ground-getting-practical-with-nature-related-assessments-for-insurers/" TargetMode="External"/><Relationship Id="rId4" Type="http://schemas.openxmlformats.org/officeDocument/2006/relationships/hyperlink" Target="https://tnfd.global/publication/evidence-financial-effects-of-nature-related-risk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BF03898B04CD418B69BE9A00542AD9" ma:contentTypeVersion="6" ma:contentTypeDescription="Create a new document." ma:contentTypeScope="" ma:versionID="35c0d5e384524174f20be6b4b51eac29">
  <xsd:schema xmlns:xsd="http://www.w3.org/2001/XMLSchema" xmlns:xs="http://www.w3.org/2001/XMLSchema" xmlns:p="http://schemas.microsoft.com/office/2006/metadata/properties" xmlns:ns2="2cecec4a-9dd3-481e-a4c8-530433c451f8" xmlns:ns3="5f8107ee-2af5-49fe-8d88-4ddc6439691a" targetNamespace="http://schemas.microsoft.com/office/2006/metadata/properties" ma:root="true" ma:fieldsID="f038dfa988bbf80e5b8a786c45b47a9b" ns2:_="" ns3:_="">
    <xsd:import namespace="2cecec4a-9dd3-481e-a4c8-530433c451f8"/>
    <xsd:import namespace="5f8107ee-2af5-49fe-8d88-4ddc643969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cec4a-9dd3-481e-a4c8-530433c451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8107ee-2af5-49fe-8d88-4ddc643969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AF494-EB70-4B96-8E10-7D2035428394}">
  <ds:schemaRefs>
    <ds:schemaRef ds:uri="http://schemas.microsoft.com/sharepoint/v3/contenttype/forms"/>
  </ds:schemaRefs>
</ds:datastoreItem>
</file>

<file path=customXml/itemProps2.xml><?xml version="1.0" encoding="utf-8"?>
<ds:datastoreItem xmlns:ds="http://schemas.openxmlformats.org/officeDocument/2006/customXml" ds:itemID="{B2FC5926-D270-4025-B0D9-3CE9629E3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cec4a-9dd3-481e-a4c8-530433c451f8"/>
    <ds:schemaRef ds:uri="5f8107ee-2af5-49fe-8d88-4ddc64396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95A09A-9DC5-4B72-861E-FED5834E4D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77A05E-71E0-6B41-838F-ACA9F3024646}">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13</Pages>
  <Words>3882</Words>
  <Characters>22128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25959</CharactersWithSpaces>
  <SharedDoc>false</SharedDoc>
  <HLinks>
    <vt:vector size="2154" baseType="variant">
      <vt:variant>
        <vt:i4>1114202</vt:i4>
      </vt:variant>
      <vt:variant>
        <vt:i4>501</vt:i4>
      </vt:variant>
      <vt:variant>
        <vt:i4>0</vt:i4>
      </vt:variant>
      <vt:variant>
        <vt:i4>5</vt:i4>
      </vt:variant>
      <vt:variant>
        <vt:lpwstr>https://tnfd.global/assessment-guidance/tools-catalogue/</vt:lpwstr>
      </vt:variant>
      <vt:variant>
        <vt:lpwstr/>
      </vt:variant>
      <vt:variant>
        <vt:i4>1114202</vt:i4>
      </vt:variant>
      <vt:variant>
        <vt:i4>498</vt:i4>
      </vt:variant>
      <vt:variant>
        <vt:i4>0</vt:i4>
      </vt:variant>
      <vt:variant>
        <vt:i4>5</vt:i4>
      </vt:variant>
      <vt:variant>
        <vt:lpwstr>https://tnfd.global/assessment-guidance/tools-catalogue/</vt:lpwstr>
      </vt:variant>
      <vt:variant>
        <vt:lpwstr/>
      </vt:variant>
      <vt:variant>
        <vt:i4>655385</vt:i4>
      </vt:variant>
      <vt:variant>
        <vt:i4>495</vt:i4>
      </vt:variant>
      <vt:variant>
        <vt:i4>0</vt:i4>
      </vt:variant>
      <vt:variant>
        <vt:i4>5</vt:i4>
      </vt:variant>
      <vt:variant>
        <vt:lpwstr>https://riskfilter.org/biodiversity/inform/industry-overview</vt:lpwstr>
      </vt:variant>
      <vt:variant>
        <vt:lpwstr/>
      </vt:variant>
      <vt:variant>
        <vt:i4>2555960</vt:i4>
      </vt:variant>
      <vt:variant>
        <vt:i4>492</vt:i4>
      </vt:variant>
      <vt:variant>
        <vt:i4>0</vt:i4>
      </vt:variant>
      <vt:variant>
        <vt:i4>5</vt:i4>
      </vt:variant>
      <vt:variant>
        <vt:lpwstr>https://sbtn.shinyapps.io/MaterialityScreeningTool/</vt:lpwstr>
      </vt:variant>
      <vt:variant>
        <vt:lpwstr/>
      </vt:variant>
      <vt:variant>
        <vt:i4>6881327</vt:i4>
      </vt:variant>
      <vt:variant>
        <vt:i4>489</vt:i4>
      </vt:variant>
      <vt:variant>
        <vt:i4>0</vt:i4>
      </vt:variant>
      <vt:variant>
        <vt:i4>5</vt:i4>
      </vt:variant>
      <vt:variant>
        <vt:lpwstr>https://encorenature.org/en</vt:lpwstr>
      </vt:variant>
      <vt:variant>
        <vt:lpwstr/>
      </vt:variant>
      <vt:variant>
        <vt:i4>1114202</vt:i4>
      </vt:variant>
      <vt:variant>
        <vt:i4>486</vt:i4>
      </vt:variant>
      <vt:variant>
        <vt:i4>0</vt:i4>
      </vt:variant>
      <vt:variant>
        <vt:i4>5</vt:i4>
      </vt:variant>
      <vt:variant>
        <vt:lpwstr>https://tnfd.global/assessment-guidance/tools-catalogue/</vt:lpwstr>
      </vt:variant>
      <vt:variant>
        <vt:lpwstr/>
      </vt:variant>
      <vt:variant>
        <vt:i4>1310722</vt:i4>
      </vt:variant>
      <vt:variant>
        <vt:i4>483</vt:i4>
      </vt:variant>
      <vt:variant>
        <vt:i4>0</vt:i4>
      </vt:variant>
      <vt:variant>
        <vt:i4>5</vt:i4>
      </vt:variant>
      <vt:variant>
        <vt:lpwstr>http://unbiodiversitylab.org/en/</vt:lpwstr>
      </vt:variant>
      <vt:variant>
        <vt:lpwstr/>
      </vt:variant>
      <vt:variant>
        <vt:i4>4259923</vt:i4>
      </vt:variant>
      <vt:variant>
        <vt:i4>480</vt:i4>
      </vt:variant>
      <vt:variant>
        <vt:i4>0</vt:i4>
      </vt:variant>
      <vt:variant>
        <vt:i4>5</vt:i4>
      </vt:variant>
      <vt:variant>
        <vt:lpwstr>https://riskfilter.org/biodiversity/explore/country-profiles</vt:lpwstr>
      </vt:variant>
      <vt:variant>
        <vt:lpwstr/>
      </vt:variant>
      <vt:variant>
        <vt:i4>8061027</vt:i4>
      </vt:variant>
      <vt:variant>
        <vt:i4>477</vt:i4>
      </vt:variant>
      <vt:variant>
        <vt:i4>0</vt:i4>
      </vt:variant>
      <vt:variant>
        <vt:i4>5</vt:i4>
      </vt:variant>
      <vt:variant>
        <vt:lpwstr>https://ibat-alliance.org/</vt:lpwstr>
      </vt:variant>
      <vt:variant>
        <vt:lpwstr/>
      </vt:variant>
      <vt:variant>
        <vt:i4>1114202</vt:i4>
      </vt:variant>
      <vt:variant>
        <vt:i4>474</vt:i4>
      </vt:variant>
      <vt:variant>
        <vt:i4>0</vt:i4>
      </vt:variant>
      <vt:variant>
        <vt:i4>5</vt:i4>
      </vt:variant>
      <vt:variant>
        <vt:lpwstr>https://tnfd.global/assessment-guidance/tools-catalogue/</vt:lpwstr>
      </vt:variant>
      <vt:variant>
        <vt:lpwstr/>
      </vt:variant>
      <vt:variant>
        <vt:i4>6291499</vt:i4>
      </vt:variant>
      <vt:variant>
        <vt:i4>471</vt:i4>
      </vt:variant>
      <vt:variant>
        <vt:i4>0</vt:i4>
      </vt:variant>
      <vt:variant>
        <vt:i4>5</vt:i4>
      </vt:variant>
      <vt:variant>
        <vt:lpwstr>https://ecoregions.appspot.com/</vt:lpwstr>
      </vt:variant>
      <vt:variant>
        <vt:lpwstr/>
      </vt:variant>
      <vt:variant>
        <vt:i4>1310722</vt:i4>
      </vt:variant>
      <vt:variant>
        <vt:i4>468</vt:i4>
      </vt:variant>
      <vt:variant>
        <vt:i4>0</vt:i4>
      </vt:variant>
      <vt:variant>
        <vt:i4>5</vt:i4>
      </vt:variant>
      <vt:variant>
        <vt:lpwstr>http://unbiodiversitylab.org/en/</vt:lpwstr>
      </vt:variant>
      <vt:variant>
        <vt:lpwstr/>
      </vt:variant>
      <vt:variant>
        <vt:i4>4259923</vt:i4>
      </vt:variant>
      <vt:variant>
        <vt:i4>465</vt:i4>
      </vt:variant>
      <vt:variant>
        <vt:i4>0</vt:i4>
      </vt:variant>
      <vt:variant>
        <vt:i4>5</vt:i4>
      </vt:variant>
      <vt:variant>
        <vt:lpwstr>https://riskfilter.org/biodiversity/explore/country-profiles</vt:lpwstr>
      </vt:variant>
      <vt:variant>
        <vt:lpwstr/>
      </vt:variant>
      <vt:variant>
        <vt:i4>8061027</vt:i4>
      </vt:variant>
      <vt:variant>
        <vt:i4>462</vt:i4>
      </vt:variant>
      <vt:variant>
        <vt:i4>0</vt:i4>
      </vt:variant>
      <vt:variant>
        <vt:i4>5</vt:i4>
      </vt:variant>
      <vt:variant>
        <vt:lpwstr>https://ibat-alliance.org/</vt:lpwstr>
      </vt:variant>
      <vt:variant>
        <vt:lpwstr/>
      </vt:variant>
      <vt:variant>
        <vt:i4>655385</vt:i4>
      </vt:variant>
      <vt:variant>
        <vt:i4>459</vt:i4>
      </vt:variant>
      <vt:variant>
        <vt:i4>0</vt:i4>
      </vt:variant>
      <vt:variant>
        <vt:i4>5</vt:i4>
      </vt:variant>
      <vt:variant>
        <vt:lpwstr>https://riskfilter.org/biodiversity/inform/industry-overview</vt:lpwstr>
      </vt:variant>
      <vt:variant>
        <vt:lpwstr/>
      </vt:variant>
      <vt:variant>
        <vt:i4>6357051</vt:i4>
      </vt:variant>
      <vt:variant>
        <vt:i4>456</vt:i4>
      </vt:variant>
      <vt:variant>
        <vt:i4>0</vt:i4>
      </vt:variant>
      <vt:variant>
        <vt:i4>5</vt:i4>
      </vt:variant>
      <vt:variant>
        <vt:lpwstr>https://www.financeforbiodiversity.org/wp-content/uploads/Top10_biodiversity-impact_ranking.pdf</vt:lpwstr>
      </vt:variant>
      <vt:variant>
        <vt:lpwstr/>
      </vt:variant>
      <vt:variant>
        <vt:i4>2555960</vt:i4>
      </vt:variant>
      <vt:variant>
        <vt:i4>453</vt:i4>
      </vt:variant>
      <vt:variant>
        <vt:i4>0</vt:i4>
      </vt:variant>
      <vt:variant>
        <vt:i4>5</vt:i4>
      </vt:variant>
      <vt:variant>
        <vt:lpwstr>https://sbtn.shinyapps.io/MaterialityScreeningTool/</vt:lpwstr>
      </vt:variant>
      <vt:variant>
        <vt:lpwstr/>
      </vt:variant>
      <vt:variant>
        <vt:i4>6881327</vt:i4>
      </vt:variant>
      <vt:variant>
        <vt:i4>450</vt:i4>
      </vt:variant>
      <vt:variant>
        <vt:i4>0</vt:i4>
      </vt:variant>
      <vt:variant>
        <vt:i4>5</vt:i4>
      </vt:variant>
      <vt:variant>
        <vt:lpwstr>https://encorenature.org/en</vt:lpwstr>
      </vt:variant>
      <vt:variant>
        <vt:lpwstr/>
      </vt:variant>
      <vt:variant>
        <vt:i4>655385</vt:i4>
      </vt:variant>
      <vt:variant>
        <vt:i4>438</vt:i4>
      </vt:variant>
      <vt:variant>
        <vt:i4>0</vt:i4>
      </vt:variant>
      <vt:variant>
        <vt:i4>5</vt:i4>
      </vt:variant>
      <vt:variant>
        <vt:lpwstr>https://riskfilter.org/biodiversity/inform/industry-overview</vt:lpwstr>
      </vt:variant>
      <vt:variant>
        <vt:lpwstr/>
      </vt:variant>
      <vt:variant>
        <vt:i4>6357051</vt:i4>
      </vt:variant>
      <vt:variant>
        <vt:i4>435</vt:i4>
      </vt:variant>
      <vt:variant>
        <vt:i4>0</vt:i4>
      </vt:variant>
      <vt:variant>
        <vt:i4>5</vt:i4>
      </vt:variant>
      <vt:variant>
        <vt:lpwstr>https://www.financeforbiodiversity.org/wp-content/uploads/Top10_biodiversity-impact_ranking.pdf</vt:lpwstr>
      </vt:variant>
      <vt:variant>
        <vt:lpwstr/>
      </vt:variant>
      <vt:variant>
        <vt:i4>2555960</vt:i4>
      </vt:variant>
      <vt:variant>
        <vt:i4>432</vt:i4>
      </vt:variant>
      <vt:variant>
        <vt:i4>0</vt:i4>
      </vt:variant>
      <vt:variant>
        <vt:i4>5</vt:i4>
      </vt:variant>
      <vt:variant>
        <vt:lpwstr>https://sbtn.shinyapps.io/MaterialityScreeningTool/</vt:lpwstr>
      </vt:variant>
      <vt:variant>
        <vt:lpwstr/>
      </vt:variant>
      <vt:variant>
        <vt:i4>6881327</vt:i4>
      </vt:variant>
      <vt:variant>
        <vt:i4>429</vt:i4>
      </vt:variant>
      <vt:variant>
        <vt:i4>0</vt:i4>
      </vt:variant>
      <vt:variant>
        <vt:i4>5</vt:i4>
      </vt:variant>
      <vt:variant>
        <vt:lpwstr>https://encorenature.org/en</vt:lpwstr>
      </vt:variant>
      <vt:variant>
        <vt:lpwstr/>
      </vt:variant>
      <vt:variant>
        <vt:i4>8192097</vt:i4>
      </vt:variant>
      <vt:variant>
        <vt:i4>306</vt:i4>
      </vt:variant>
      <vt:variant>
        <vt:i4>0</vt:i4>
      </vt:variant>
      <vt:variant>
        <vt:i4>5</vt:i4>
      </vt:variant>
      <vt:variant>
        <vt:lpwstr>https://www.unepfi.org/insurance/insurance/projects/nature-positive-insurance/</vt:lpwstr>
      </vt:variant>
      <vt:variant>
        <vt:lpwstr/>
      </vt:variant>
      <vt:variant>
        <vt:i4>3604586</vt:i4>
      </vt:variant>
      <vt:variant>
        <vt:i4>303</vt:i4>
      </vt:variant>
      <vt:variant>
        <vt:i4>0</vt:i4>
      </vt:variant>
      <vt:variant>
        <vt:i4>5</vt:i4>
      </vt:variant>
      <vt:variant>
        <vt:lpwstr>https://www.unepfi.org/insurance/insurance/</vt:lpwstr>
      </vt:variant>
      <vt:variant>
        <vt:lpwstr/>
      </vt:variant>
      <vt:variant>
        <vt:i4>1966134</vt:i4>
      </vt:variant>
      <vt:variant>
        <vt:i4>296</vt:i4>
      </vt:variant>
      <vt:variant>
        <vt:i4>0</vt:i4>
      </vt:variant>
      <vt:variant>
        <vt:i4>5</vt:i4>
      </vt:variant>
      <vt:variant>
        <vt:lpwstr/>
      </vt:variant>
      <vt:variant>
        <vt:lpwstr>_Toc192535609</vt:lpwstr>
      </vt:variant>
      <vt:variant>
        <vt:i4>1966134</vt:i4>
      </vt:variant>
      <vt:variant>
        <vt:i4>290</vt:i4>
      </vt:variant>
      <vt:variant>
        <vt:i4>0</vt:i4>
      </vt:variant>
      <vt:variant>
        <vt:i4>5</vt:i4>
      </vt:variant>
      <vt:variant>
        <vt:lpwstr/>
      </vt:variant>
      <vt:variant>
        <vt:lpwstr>_Toc192535608</vt:lpwstr>
      </vt:variant>
      <vt:variant>
        <vt:i4>1966134</vt:i4>
      </vt:variant>
      <vt:variant>
        <vt:i4>284</vt:i4>
      </vt:variant>
      <vt:variant>
        <vt:i4>0</vt:i4>
      </vt:variant>
      <vt:variant>
        <vt:i4>5</vt:i4>
      </vt:variant>
      <vt:variant>
        <vt:lpwstr/>
      </vt:variant>
      <vt:variant>
        <vt:lpwstr>_Toc192535607</vt:lpwstr>
      </vt:variant>
      <vt:variant>
        <vt:i4>1966134</vt:i4>
      </vt:variant>
      <vt:variant>
        <vt:i4>278</vt:i4>
      </vt:variant>
      <vt:variant>
        <vt:i4>0</vt:i4>
      </vt:variant>
      <vt:variant>
        <vt:i4>5</vt:i4>
      </vt:variant>
      <vt:variant>
        <vt:lpwstr/>
      </vt:variant>
      <vt:variant>
        <vt:lpwstr>_Toc192535606</vt:lpwstr>
      </vt:variant>
      <vt:variant>
        <vt:i4>1966134</vt:i4>
      </vt:variant>
      <vt:variant>
        <vt:i4>272</vt:i4>
      </vt:variant>
      <vt:variant>
        <vt:i4>0</vt:i4>
      </vt:variant>
      <vt:variant>
        <vt:i4>5</vt:i4>
      </vt:variant>
      <vt:variant>
        <vt:lpwstr/>
      </vt:variant>
      <vt:variant>
        <vt:lpwstr>_Toc192535605</vt:lpwstr>
      </vt:variant>
      <vt:variant>
        <vt:i4>1966134</vt:i4>
      </vt:variant>
      <vt:variant>
        <vt:i4>266</vt:i4>
      </vt:variant>
      <vt:variant>
        <vt:i4>0</vt:i4>
      </vt:variant>
      <vt:variant>
        <vt:i4>5</vt:i4>
      </vt:variant>
      <vt:variant>
        <vt:lpwstr/>
      </vt:variant>
      <vt:variant>
        <vt:lpwstr>_Toc192535604</vt:lpwstr>
      </vt:variant>
      <vt:variant>
        <vt:i4>1966134</vt:i4>
      </vt:variant>
      <vt:variant>
        <vt:i4>260</vt:i4>
      </vt:variant>
      <vt:variant>
        <vt:i4>0</vt:i4>
      </vt:variant>
      <vt:variant>
        <vt:i4>5</vt:i4>
      </vt:variant>
      <vt:variant>
        <vt:lpwstr/>
      </vt:variant>
      <vt:variant>
        <vt:lpwstr>_Toc192535603</vt:lpwstr>
      </vt:variant>
      <vt:variant>
        <vt:i4>1966134</vt:i4>
      </vt:variant>
      <vt:variant>
        <vt:i4>254</vt:i4>
      </vt:variant>
      <vt:variant>
        <vt:i4>0</vt:i4>
      </vt:variant>
      <vt:variant>
        <vt:i4>5</vt:i4>
      </vt:variant>
      <vt:variant>
        <vt:lpwstr/>
      </vt:variant>
      <vt:variant>
        <vt:lpwstr>_Toc192535602</vt:lpwstr>
      </vt:variant>
      <vt:variant>
        <vt:i4>1966134</vt:i4>
      </vt:variant>
      <vt:variant>
        <vt:i4>248</vt:i4>
      </vt:variant>
      <vt:variant>
        <vt:i4>0</vt:i4>
      </vt:variant>
      <vt:variant>
        <vt:i4>5</vt:i4>
      </vt:variant>
      <vt:variant>
        <vt:lpwstr/>
      </vt:variant>
      <vt:variant>
        <vt:lpwstr>_Toc192535601</vt:lpwstr>
      </vt:variant>
      <vt:variant>
        <vt:i4>1966134</vt:i4>
      </vt:variant>
      <vt:variant>
        <vt:i4>242</vt:i4>
      </vt:variant>
      <vt:variant>
        <vt:i4>0</vt:i4>
      </vt:variant>
      <vt:variant>
        <vt:i4>5</vt:i4>
      </vt:variant>
      <vt:variant>
        <vt:lpwstr/>
      </vt:variant>
      <vt:variant>
        <vt:lpwstr>_Toc192535600</vt:lpwstr>
      </vt:variant>
      <vt:variant>
        <vt:i4>1507381</vt:i4>
      </vt:variant>
      <vt:variant>
        <vt:i4>236</vt:i4>
      </vt:variant>
      <vt:variant>
        <vt:i4>0</vt:i4>
      </vt:variant>
      <vt:variant>
        <vt:i4>5</vt:i4>
      </vt:variant>
      <vt:variant>
        <vt:lpwstr/>
      </vt:variant>
      <vt:variant>
        <vt:lpwstr>_Toc192535599</vt:lpwstr>
      </vt:variant>
      <vt:variant>
        <vt:i4>1507381</vt:i4>
      </vt:variant>
      <vt:variant>
        <vt:i4>230</vt:i4>
      </vt:variant>
      <vt:variant>
        <vt:i4>0</vt:i4>
      </vt:variant>
      <vt:variant>
        <vt:i4>5</vt:i4>
      </vt:variant>
      <vt:variant>
        <vt:lpwstr/>
      </vt:variant>
      <vt:variant>
        <vt:lpwstr>_Toc192535598</vt:lpwstr>
      </vt:variant>
      <vt:variant>
        <vt:i4>1507381</vt:i4>
      </vt:variant>
      <vt:variant>
        <vt:i4>224</vt:i4>
      </vt:variant>
      <vt:variant>
        <vt:i4>0</vt:i4>
      </vt:variant>
      <vt:variant>
        <vt:i4>5</vt:i4>
      </vt:variant>
      <vt:variant>
        <vt:lpwstr/>
      </vt:variant>
      <vt:variant>
        <vt:lpwstr>_Toc192535597</vt:lpwstr>
      </vt:variant>
      <vt:variant>
        <vt:i4>1507381</vt:i4>
      </vt:variant>
      <vt:variant>
        <vt:i4>218</vt:i4>
      </vt:variant>
      <vt:variant>
        <vt:i4>0</vt:i4>
      </vt:variant>
      <vt:variant>
        <vt:i4>5</vt:i4>
      </vt:variant>
      <vt:variant>
        <vt:lpwstr/>
      </vt:variant>
      <vt:variant>
        <vt:lpwstr>_Toc192535596</vt:lpwstr>
      </vt:variant>
      <vt:variant>
        <vt:i4>1507381</vt:i4>
      </vt:variant>
      <vt:variant>
        <vt:i4>212</vt:i4>
      </vt:variant>
      <vt:variant>
        <vt:i4>0</vt:i4>
      </vt:variant>
      <vt:variant>
        <vt:i4>5</vt:i4>
      </vt:variant>
      <vt:variant>
        <vt:lpwstr/>
      </vt:variant>
      <vt:variant>
        <vt:lpwstr>_Toc192535595</vt:lpwstr>
      </vt:variant>
      <vt:variant>
        <vt:i4>1507381</vt:i4>
      </vt:variant>
      <vt:variant>
        <vt:i4>206</vt:i4>
      </vt:variant>
      <vt:variant>
        <vt:i4>0</vt:i4>
      </vt:variant>
      <vt:variant>
        <vt:i4>5</vt:i4>
      </vt:variant>
      <vt:variant>
        <vt:lpwstr/>
      </vt:variant>
      <vt:variant>
        <vt:lpwstr>_Toc192535594</vt:lpwstr>
      </vt:variant>
      <vt:variant>
        <vt:i4>1507381</vt:i4>
      </vt:variant>
      <vt:variant>
        <vt:i4>200</vt:i4>
      </vt:variant>
      <vt:variant>
        <vt:i4>0</vt:i4>
      </vt:variant>
      <vt:variant>
        <vt:i4>5</vt:i4>
      </vt:variant>
      <vt:variant>
        <vt:lpwstr/>
      </vt:variant>
      <vt:variant>
        <vt:lpwstr>_Toc192535593</vt:lpwstr>
      </vt:variant>
      <vt:variant>
        <vt:i4>1507381</vt:i4>
      </vt:variant>
      <vt:variant>
        <vt:i4>194</vt:i4>
      </vt:variant>
      <vt:variant>
        <vt:i4>0</vt:i4>
      </vt:variant>
      <vt:variant>
        <vt:i4>5</vt:i4>
      </vt:variant>
      <vt:variant>
        <vt:lpwstr/>
      </vt:variant>
      <vt:variant>
        <vt:lpwstr>_Toc192535592</vt:lpwstr>
      </vt:variant>
      <vt:variant>
        <vt:i4>1507381</vt:i4>
      </vt:variant>
      <vt:variant>
        <vt:i4>188</vt:i4>
      </vt:variant>
      <vt:variant>
        <vt:i4>0</vt:i4>
      </vt:variant>
      <vt:variant>
        <vt:i4>5</vt:i4>
      </vt:variant>
      <vt:variant>
        <vt:lpwstr/>
      </vt:variant>
      <vt:variant>
        <vt:lpwstr>_Toc192535591</vt:lpwstr>
      </vt:variant>
      <vt:variant>
        <vt:i4>1507381</vt:i4>
      </vt:variant>
      <vt:variant>
        <vt:i4>182</vt:i4>
      </vt:variant>
      <vt:variant>
        <vt:i4>0</vt:i4>
      </vt:variant>
      <vt:variant>
        <vt:i4>5</vt:i4>
      </vt:variant>
      <vt:variant>
        <vt:lpwstr/>
      </vt:variant>
      <vt:variant>
        <vt:lpwstr>_Toc192535590</vt:lpwstr>
      </vt:variant>
      <vt:variant>
        <vt:i4>1441845</vt:i4>
      </vt:variant>
      <vt:variant>
        <vt:i4>176</vt:i4>
      </vt:variant>
      <vt:variant>
        <vt:i4>0</vt:i4>
      </vt:variant>
      <vt:variant>
        <vt:i4>5</vt:i4>
      </vt:variant>
      <vt:variant>
        <vt:lpwstr/>
      </vt:variant>
      <vt:variant>
        <vt:lpwstr>_Toc192535589</vt:lpwstr>
      </vt:variant>
      <vt:variant>
        <vt:i4>1441845</vt:i4>
      </vt:variant>
      <vt:variant>
        <vt:i4>170</vt:i4>
      </vt:variant>
      <vt:variant>
        <vt:i4>0</vt:i4>
      </vt:variant>
      <vt:variant>
        <vt:i4>5</vt:i4>
      </vt:variant>
      <vt:variant>
        <vt:lpwstr/>
      </vt:variant>
      <vt:variant>
        <vt:lpwstr>_Toc192535588</vt:lpwstr>
      </vt:variant>
      <vt:variant>
        <vt:i4>1441845</vt:i4>
      </vt:variant>
      <vt:variant>
        <vt:i4>164</vt:i4>
      </vt:variant>
      <vt:variant>
        <vt:i4>0</vt:i4>
      </vt:variant>
      <vt:variant>
        <vt:i4>5</vt:i4>
      </vt:variant>
      <vt:variant>
        <vt:lpwstr/>
      </vt:variant>
      <vt:variant>
        <vt:lpwstr>_Toc192535587</vt:lpwstr>
      </vt:variant>
      <vt:variant>
        <vt:i4>1441845</vt:i4>
      </vt:variant>
      <vt:variant>
        <vt:i4>158</vt:i4>
      </vt:variant>
      <vt:variant>
        <vt:i4>0</vt:i4>
      </vt:variant>
      <vt:variant>
        <vt:i4>5</vt:i4>
      </vt:variant>
      <vt:variant>
        <vt:lpwstr/>
      </vt:variant>
      <vt:variant>
        <vt:lpwstr>_Toc192535586</vt:lpwstr>
      </vt:variant>
      <vt:variant>
        <vt:i4>1441845</vt:i4>
      </vt:variant>
      <vt:variant>
        <vt:i4>152</vt:i4>
      </vt:variant>
      <vt:variant>
        <vt:i4>0</vt:i4>
      </vt:variant>
      <vt:variant>
        <vt:i4>5</vt:i4>
      </vt:variant>
      <vt:variant>
        <vt:lpwstr/>
      </vt:variant>
      <vt:variant>
        <vt:lpwstr>_Toc192535585</vt:lpwstr>
      </vt:variant>
      <vt:variant>
        <vt:i4>1441845</vt:i4>
      </vt:variant>
      <vt:variant>
        <vt:i4>146</vt:i4>
      </vt:variant>
      <vt:variant>
        <vt:i4>0</vt:i4>
      </vt:variant>
      <vt:variant>
        <vt:i4>5</vt:i4>
      </vt:variant>
      <vt:variant>
        <vt:lpwstr/>
      </vt:variant>
      <vt:variant>
        <vt:lpwstr>_Toc192535584</vt:lpwstr>
      </vt:variant>
      <vt:variant>
        <vt:i4>1441845</vt:i4>
      </vt:variant>
      <vt:variant>
        <vt:i4>140</vt:i4>
      </vt:variant>
      <vt:variant>
        <vt:i4>0</vt:i4>
      </vt:variant>
      <vt:variant>
        <vt:i4>5</vt:i4>
      </vt:variant>
      <vt:variant>
        <vt:lpwstr/>
      </vt:variant>
      <vt:variant>
        <vt:lpwstr>_Toc192535583</vt:lpwstr>
      </vt:variant>
      <vt:variant>
        <vt:i4>1441845</vt:i4>
      </vt:variant>
      <vt:variant>
        <vt:i4>134</vt:i4>
      </vt:variant>
      <vt:variant>
        <vt:i4>0</vt:i4>
      </vt:variant>
      <vt:variant>
        <vt:i4>5</vt:i4>
      </vt:variant>
      <vt:variant>
        <vt:lpwstr/>
      </vt:variant>
      <vt:variant>
        <vt:lpwstr>_Toc192535582</vt:lpwstr>
      </vt:variant>
      <vt:variant>
        <vt:i4>1441845</vt:i4>
      </vt:variant>
      <vt:variant>
        <vt:i4>128</vt:i4>
      </vt:variant>
      <vt:variant>
        <vt:i4>0</vt:i4>
      </vt:variant>
      <vt:variant>
        <vt:i4>5</vt:i4>
      </vt:variant>
      <vt:variant>
        <vt:lpwstr/>
      </vt:variant>
      <vt:variant>
        <vt:lpwstr>_Toc192535581</vt:lpwstr>
      </vt:variant>
      <vt:variant>
        <vt:i4>1441845</vt:i4>
      </vt:variant>
      <vt:variant>
        <vt:i4>122</vt:i4>
      </vt:variant>
      <vt:variant>
        <vt:i4>0</vt:i4>
      </vt:variant>
      <vt:variant>
        <vt:i4>5</vt:i4>
      </vt:variant>
      <vt:variant>
        <vt:lpwstr/>
      </vt:variant>
      <vt:variant>
        <vt:lpwstr>_Toc192535580</vt:lpwstr>
      </vt:variant>
      <vt:variant>
        <vt:i4>1638453</vt:i4>
      </vt:variant>
      <vt:variant>
        <vt:i4>116</vt:i4>
      </vt:variant>
      <vt:variant>
        <vt:i4>0</vt:i4>
      </vt:variant>
      <vt:variant>
        <vt:i4>5</vt:i4>
      </vt:variant>
      <vt:variant>
        <vt:lpwstr/>
      </vt:variant>
      <vt:variant>
        <vt:lpwstr>_Toc192535579</vt:lpwstr>
      </vt:variant>
      <vt:variant>
        <vt:i4>1638453</vt:i4>
      </vt:variant>
      <vt:variant>
        <vt:i4>110</vt:i4>
      </vt:variant>
      <vt:variant>
        <vt:i4>0</vt:i4>
      </vt:variant>
      <vt:variant>
        <vt:i4>5</vt:i4>
      </vt:variant>
      <vt:variant>
        <vt:lpwstr/>
      </vt:variant>
      <vt:variant>
        <vt:lpwstr>_Toc192535578</vt:lpwstr>
      </vt:variant>
      <vt:variant>
        <vt:i4>1638453</vt:i4>
      </vt:variant>
      <vt:variant>
        <vt:i4>104</vt:i4>
      </vt:variant>
      <vt:variant>
        <vt:i4>0</vt:i4>
      </vt:variant>
      <vt:variant>
        <vt:i4>5</vt:i4>
      </vt:variant>
      <vt:variant>
        <vt:lpwstr/>
      </vt:variant>
      <vt:variant>
        <vt:lpwstr>_Toc192535577</vt:lpwstr>
      </vt:variant>
      <vt:variant>
        <vt:i4>1638453</vt:i4>
      </vt:variant>
      <vt:variant>
        <vt:i4>98</vt:i4>
      </vt:variant>
      <vt:variant>
        <vt:i4>0</vt:i4>
      </vt:variant>
      <vt:variant>
        <vt:i4>5</vt:i4>
      </vt:variant>
      <vt:variant>
        <vt:lpwstr/>
      </vt:variant>
      <vt:variant>
        <vt:lpwstr>_Toc192535576</vt:lpwstr>
      </vt:variant>
      <vt:variant>
        <vt:i4>1638453</vt:i4>
      </vt:variant>
      <vt:variant>
        <vt:i4>92</vt:i4>
      </vt:variant>
      <vt:variant>
        <vt:i4>0</vt:i4>
      </vt:variant>
      <vt:variant>
        <vt:i4>5</vt:i4>
      </vt:variant>
      <vt:variant>
        <vt:lpwstr/>
      </vt:variant>
      <vt:variant>
        <vt:lpwstr>_Toc192535575</vt:lpwstr>
      </vt:variant>
      <vt:variant>
        <vt:i4>1638453</vt:i4>
      </vt:variant>
      <vt:variant>
        <vt:i4>86</vt:i4>
      </vt:variant>
      <vt:variant>
        <vt:i4>0</vt:i4>
      </vt:variant>
      <vt:variant>
        <vt:i4>5</vt:i4>
      </vt:variant>
      <vt:variant>
        <vt:lpwstr/>
      </vt:variant>
      <vt:variant>
        <vt:lpwstr>_Toc192535574</vt:lpwstr>
      </vt:variant>
      <vt:variant>
        <vt:i4>1638453</vt:i4>
      </vt:variant>
      <vt:variant>
        <vt:i4>80</vt:i4>
      </vt:variant>
      <vt:variant>
        <vt:i4>0</vt:i4>
      </vt:variant>
      <vt:variant>
        <vt:i4>5</vt:i4>
      </vt:variant>
      <vt:variant>
        <vt:lpwstr/>
      </vt:variant>
      <vt:variant>
        <vt:lpwstr>_Toc192535573</vt:lpwstr>
      </vt:variant>
      <vt:variant>
        <vt:i4>1638453</vt:i4>
      </vt:variant>
      <vt:variant>
        <vt:i4>74</vt:i4>
      </vt:variant>
      <vt:variant>
        <vt:i4>0</vt:i4>
      </vt:variant>
      <vt:variant>
        <vt:i4>5</vt:i4>
      </vt:variant>
      <vt:variant>
        <vt:lpwstr/>
      </vt:variant>
      <vt:variant>
        <vt:lpwstr>_Toc192535572</vt:lpwstr>
      </vt:variant>
      <vt:variant>
        <vt:i4>1638453</vt:i4>
      </vt:variant>
      <vt:variant>
        <vt:i4>68</vt:i4>
      </vt:variant>
      <vt:variant>
        <vt:i4>0</vt:i4>
      </vt:variant>
      <vt:variant>
        <vt:i4>5</vt:i4>
      </vt:variant>
      <vt:variant>
        <vt:lpwstr/>
      </vt:variant>
      <vt:variant>
        <vt:lpwstr>_Toc192535571</vt:lpwstr>
      </vt:variant>
      <vt:variant>
        <vt:i4>1638453</vt:i4>
      </vt:variant>
      <vt:variant>
        <vt:i4>62</vt:i4>
      </vt:variant>
      <vt:variant>
        <vt:i4>0</vt:i4>
      </vt:variant>
      <vt:variant>
        <vt:i4>5</vt:i4>
      </vt:variant>
      <vt:variant>
        <vt:lpwstr/>
      </vt:variant>
      <vt:variant>
        <vt:lpwstr>_Toc192535570</vt:lpwstr>
      </vt:variant>
      <vt:variant>
        <vt:i4>1572917</vt:i4>
      </vt:variant>
      <vt:variant>
        <vt:i4>56</vt:i4>
      </vt:variant>
      <vt:variant>
        <vt:i4>0</vt:i4>
      </vt:variant>
      <vt:variant>
        <vt:i4>5</vt:i4>
      </vt:variant>
      <vt:variant>
        <vt:lpwstr/>
      </vt:variant>
      <vt:variant>
        <vt:lpwstr>_Toc192535569</vt:lpwstr>
      </vt:variant>
      <vt:variant>
        <vt:i4>1572917</vt:i4>
      </vt:variant>
      <vt:variant>
        <vt:i4>50</vt:i4>
      </vt:variant>
      <vt:variant>
        <vt:i4>0</vt:i4>
      </vt:variant>
      <vt:variant>
        <vt:i4>5</vt:i4>
      </vt:variant>
      <vt:variant>
        <vt:lpwstr/>
      </vt:variant>
      <vt:variant>
        <vt:lpwstr>_Toc192535568</vt:lpwstr>
      </vt:variant>
      <vt:variant>
        <vt:i4>1572917</vt:i4>
      </vt:variant>
      <vt:variant>
        <vt:i4>44</vt:i4>
      </vt:variant>
      <vt:variant>
        <vt:i4>0</vt:i4>
      </vt:variant>
      <vt:variant>
        <vt:i4>5</vt:i4>
      </vt:variant>
      <vt:variant>
        <vt:lpwstr/>
      </vt:variant>
      <vt:variant>
        <vt:lpwstr>_Toc192535567</vt:lpwstr>
      </vt:variant>
      <vt:variant>
        <vt:i4>1572917</vt:i4>
      </vt:variant>
      <vt:variant>
        <vt:i4>38</vt:i4>
      </vt:variant>
      <vt:variant>
        <vt:i4>0</vt:i4>
      </vt:variant>
      <vt:variant>
        <vt:i4>5</vt:i4>
      </vt:variant>
      <vt:variant>
        <vt:lpwstr/>
      </vt:variant>
      <vt:variant>
        <vt:lpwstr>_Toc192535566</vt:lpwstr>
      </vt:variant>
      <vt:variant>
        <vt:i4>1572917</vt:i4>
      </vt:variant>
      <vt:variant>
        <vt:i4>32</vt:i4>
      </vt:variant>
      <vt:variant>
        <vt:i4>0</vt:i4>
      </vt:variant>
      <vt:variant>
        <vt:i4>5</vt:i4>
      </vt:variant>
      <vt:variant>
        <vt:lpwstr/>
      </vt:variant>
      <vt:variant>
        <vt:lpwstr>_Toc192535565</vt:lpwstr>
      </vt:variant>
      <vt:variant>
        <vt:i4>1572917</vt:i4>
      </vt:variant>
      <vt:variant>
        <vt:i4>26</vt:i4>
      </vt:variant>
      <vt:variant>
        <vt:i4>0</vt:i4>
      </vt:variant>
      <vt:variant>
        <vt:i4>5</vt:i4>
      </vt:variant>
      <vt:variant>
        <vt:lpwstr/>
      </vt:variant>
      <vt:variant>
        <vt:lpwstr>_Toc192535564</vt:lpwstr>
      </vt:variant>
      <vt:variant>
        <vt:i4>1572917</vt:i4>
      </vt:variant>
      <vt:variant>
        <vt:i4>20</vt:i4>
      </vt:variant>
      <vt:variant>
        <vt:i4>0</vt:i4>
      </vt:variant>
      <vt:variant>
        <vt:i4>5</vt:i4>
      </vt:variant>
      <vt:variant>
        <vt:lpwstr/>
      </vt:variant>
      <vt:variant>
        <vt:lpwstr>_Toc192535563</vt:lpwstr>
      </vt:variant>
      <vt:variant>
        <vt:i4>1572917</vt:i4>
      </vt:variant>
      <vt:variant>
        <vt:i4>14</vt:i4>
      </vt:variant>
      <vt:variant>
        <vt:i4>0</vt:i4>
      </vt:variant>
      <vt:variant>
        <vt:i4>5</vt:i4>
      </vt:variant>
      <vt:variant>
        <vt:lpwstr/>
      </vt:variant>
      <vt:variant>
        <vt:lpwstr>_Toc192535562</vt:lpwstr>
      </vt:variant>
      <vt:variant>
        <vt:i4>1572917</vt:i4>
      </vt:variant>
      <vt:variant>
        <vt:i4>8</vt:i4>
      </vt:variant>
      <vt:variant>
        <vt:i4>0</vt:i4>
      </vt:variant>
      <vt:variant>
        <vt:i4>5</vt:i4>
      </vt:variant>
      <vt:variant>
        <vt:lpwstr/>
      </vt:variant>
      <vt:variant>
        <vt:lpwstr>_Toc192535561</vt:lpwstr>
      </vt:variant>
      <vt:variant>
        <vt:i4>1572917</vt:i4>
      </vt:variant>
      <vt:variant>
        <vt:i4>2</vt:i4>
      </vt:variant>
      <vt:variant>
        <vt:i4>0</vt:i4>
      </vt:variant>
      <vt:variant>
        <vt:i4>5</vt:i4>
      </vt:variant>
      <vt:variant>
        <vt:lpwstr/>
      </vt:variant>
      <vt:variant>
        <vt:lpwstr>_Toc192535560</vt:lpwstr>
      </vt:variant>
      <vt:variant>
        <vt:i4>5046276</vt:i4>
      </vt:variant>
      <vt:variant>
        <vt:i4>837</vt:i4>
      </vt:variant>
      <vt:variant>
        <vt:i4>0</vt:i4>
      </vt:variant>
      <vt:variant>
        <vt:i4>5</vt:i4>
      </vt:variant>
      <vt:variant>
        <vt:lpwstr>https://www.cdp.net/en/about/framework-alignment</vt:lpwstr>
      </vt:variant>
      <vt:variant>
        <vt:lpwstr/>
      </vt:variant>
      <vt:variant>
        <vt:i4>6881322</vt:i4>
      </vt:variant>
      <vt:variant>
        <vt:i4>834</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6881322</vt:i4>
      </vt:variant>
      <vt:variant>
        <vt:i4>831</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1245255</vt:i4>
      </vt:variant>
      <vt:variant>
        <vt:i4>828</vt:i4>
      </vt:variant>
      <vt:variant>
        <vt:i4>0</vt:i4>
      </vt:variant>
      <vt:variant>
        <vt:i4>5</vt:i4>
      </vt:variant>
      <vt:variant>
        <vt:lpwstr>https://eur-lex.europa.eu/legal-content/en/TXT/?uri=CELEX:32023R2772</vt:lpwstr>
      </vt:variant>
      <vt:variant>
        <vt:lpwstr/>
      </vt:variant>
      <vt:variant>
        <vt:i4>6881322</vt:i4>
      </vt:variant>
      <vt:variant>
        <vt:i4>825</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4325461</vt:i4>
      </vt:variant>
      <vt:variant>
        <vt:i4>822</vt:i4>
      </vt:variant>
      <vt:variant>
        <vt:i4>0</vt:i4>
      </vt:variant>
      <vt:variant>
        <vt:i4>5</vt:i4>
      </vt:variant>
      <vt:variant>
        <vt:lpwstr>https://sciencebasedtargetsnetwork.org/wp-content/uploads/2023/05/Technical-Guidance-2023-Step1-Assess-v1.pdf</vt:lpwstr>
      </vt:variant>
      <vt:variant>
        <vt:lpwstr/>
      </vt:variant>
      <vt:variant>
        <vt:i4>5636209</vt:i4>
      </vt:variant>
      <vt:variant>
        <vt:i4>819</vt:i4>
      </vt:variant>
      <vt:variant>
        <vt:i4>0</vt:i4>
      </vt:variant>
      <vt:variant>
        <vt:i4>5</vt:i4>
      </vt:variant>
      <vt:variant>
        <vt:lpwstr>https://pbafglobal.com/files/downloads/PBAF_OA2022.pdf</vt:lpwstr>
      </vt:variant>
      <vt:variant>
        <vt:lpwstr/>
      </vt:variant>
      <vt:variant>
        <vt:i4>8323150</vt:i4>
      </vt:variant>
      <vt:variant>
        <vt:i4>816</vt:i4>
      </vt:variant>
      <vt:variant>
        <vt:i4>0</vt:i4>
      </vt:variant>
      <vt:variant>
        <vt:i4>5</vt:i4>
      </vt:variant>
      <vt:variant>
        <vt:lpwstr>https://capitalscoalition.org/guide_supplement/finance-sector-supplement/</vt:lpwstr>
      </vt:variant>
      <vt:variant>
        <vt:lpwstr/>
      </vt:variant>
      <vt:variant>
        <vt:i4>3211278</vt:i4>
      </vt:variant>
      <vt:variant>
        <vt:i4>813</vt:i4>
      </vt:variant>
      <vt:variant>
        <vt:i4>0</vt:i4>
      </vt:variant>
      <vt:variant>
        <vt:i4>5</vt:i4>
      </vt:variant>
      <vt:variant>
        <vt:lpwstr>https://capitalscoalition.org/capitals-approach/natural-capital-protocol/?fwp_filter_tabs=guide_supplement</vt:lpwstr>
      </vt:variant>
      <vt:variant>
        <vt:lpwstr/>
      </vt:variant>
      <vt:variant>
        <vt:i4>983061</vt:i4>
      </vt:variant>
      <vt:variant>
        <vt:i4>810</vt:i4>
      </vt:variant>
      <vt:variant>
        <vt:i4>0</vt:i4>
      </vt:variant>
      <vt:variant>
        <vt:i4>5</vt:i4>
      </vt:variant>
      <vt:variant>
        <vt:lpwstr>https://www.unepfi.org/publications/accountability-for-nature-comparison-of-nature-related-assessment-and-disclosure-frameworks-and-standards-3/</vt:lpwstr>
      </vt:variant>
      <vt:variant>
        <vt:lpwstr/>
      </vt:variant>
      <vt:variant>
        <vt:i4>5046276</vt:i4>
      </vt:variant>
      <vt:variant>
        <vt:i4>807</vt:i4>
      </vt:variant>
      <vt:variant>
        <vt:i4>0</vt:i4>
      </vt:variant>
      <vt:variant>
        <vt:i4>5</vt:i4>
      </vt:variant>
      <vt:variant>
        <vt:lpwstr>https://www.cdp.net/en/about/framework-alignment</vt:lpwstr>
      </vt:variant>
      <vt:variant>
        <vt:lpwstr/>
      </vt:variant>
      <vt:variant>
        <vt:i4>6881322</vt:i4>
      </vt:variant>
      <vt:variant>
        <vt:i4>804</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6881322</vt:i4>
      </vt:variant>
      <vt:variant>
        <vt:i4>801</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1245255</vt:i4>
      </vt:variant>
      <vt:variant>
        <vt:i4>798</vt:i4>
      </vt:variant>
      <vt:variant>
        <vt:i4>0</vt:i4>
      </vt:variant>
      <vt:variant>
        <vt:i4>5</vt:i4>
      </vt:variant>
      <vt:variant>
        <vt:lpwstr>https://eur-lex.europa.eu/legal-content/en/TXT/?uri=CELEX:32023R2772</vt:lpwstr>
      </vt:variant>
      <vt:variant>
        <vt:lpwstr/>
      </vt:variant>
      <vt:variant>
        <vt:i4>6881322</vt:i4>
      </vt:variant>
      <vt:variant>
        <vt:i4>795</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4325461</vt:i4>
      </vt:variant>
      <vt:variant>
        <vt:i4>792</vt:i4>
      </vt:variant>
      <vt:variant>
        <vt:i4>0</vt:i4>
      </vt:variant>
      <vt:variant>
        <vt:i4>5</vt:i4>
      </vt:variant>
      <vt:variant>
        <vt:lpwstr>https://sciencebasedtargetsnetwork.org/wp-content/uploads/2023/05/Technical-Guidance-2023-Step1-Assess-v1.pdf</vt:lpwstr>
      </vt:variant>
      <vt:variant>
        <vt:lpwstr/>
      </vt:variant>
      <vt:variant>
        <vt:i4>5636209</vt:i4>
      </vt:variant>
      <vt:variant>
        <vt:i4>789</vt:i4>
      </vt:variant>
      <vt:variant>
        <vt:i4>0</vt:i4>
      </vt:variant>
      <vt:variant>
        <vt:i4>5</vt:i4>
      </vt:variant>
      <vt:variant>
        <vt:lpwstr>https://pbafglobal.com/files/downloads/PBAF_OA2022.pdf</vt:lpwstr>
      </vt:variant>
      <vt:variant>
        <vt:lpwstr/>
      </vt:variant>
      <vt:variant>
        <vt:i4>3211278</vt:i4>
      </vt:variant>
      <vt:variant>
        <vt:i4>786</vt:i4>
      </vt:variant>
      <vt:variant>
        <vt:i4>0</vt:i4>
      </vt:variant>
      <vt:variant>
        <vt:i4>5</vt:i4>
      </vt:variant>
      <vt:variant>
        <vt:lpwstr>https://capitalscoalition.org/capitals-approach/natural-capital-protocol/?fwp_filter_tabs=guide_supplement</vt:lpwstr>
      </vt:variant>
      <vt:variant>
        <vt:lpwstr/>
      </vt:variant>
      <vt:variant>
        <vt:i4>983061</vt:i4>
      </vt:variant>
      <vt:variant>
        <vt:i4>783</vt:i4>
      </vt:variant>
      <vt:variant>
        <vt:i4>0</vt:i4>
      </vt:variant>
      <vt:variant>
        <vt:i4>5</vt:i4>
      </vt:variant>
      <vt:variant>
        <vt:lpwstr>https://www.unepfi.org/publications/accountability-for-nature-comparison-of-nature-related-assessment-and-disclosure-frameworks-and-standards-3/</vt:lpwstr>
      </vt:variant>
      <vt:variant>
        <vt:lpwstr/>
      </vt:variant>
      <vt:variant>
        <vt:i4>5046276</vt:i4>
      </vt:variant>
      <vt:variant>
        <vt:i4>780</vt:i4>
      </vt:variant>
      <vt:variant>
        <vt:i4>0</vt:i4>
      </vt:variant>
      <vt:variant>
        <vt:i4>5</vt:i4>
      </vt:variant>
      <vt:variant>
        <vt:lpwstr>https://www.cdp.net/en/about/framework-alignment</vt:lpwstr>
      </vt:variant>
      <vt:variant>
        <vt:lpwstr/>
      </vt:variant>
      <vt:variant>
        <vt:i4>6881322</vt:i4>
      </vt:variant>
      <vt:variant>
        <vt:i4>777</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6881322</vt:i4>
      </vt:variant>
      <vt:variant>
        <vt:i4>774</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1245255</vt:i4>
      </vt:variant>
      <vt:variant>
        <vt:i4>771</vt:i4>
      </vt:variant>
      <vt:variant>
        <vt:i4>0</vt:i4>
      </vt:variant>
      <vt:variant>
        <vt:i4>5</vt:i4>
      </vt:variant>
      <vt:variant>
        <vt:lpwstr>https://eur-lex.europa.eu/legal-content/en/TXT/?uri=CELEX:32023R2772</vt:lpwstr>
      </vt:variant>
      <vt:variant>
        <vt:lpwstr/>
      </vt:variant>
      <vt:variant>
        <vt:i4>1122416</vt:i4>
      </vt:variant>
      <vt:variant>
        <vt:i4>768</vt:i4>
      </vt:variant>
      <vt:variant>
        <vt:i4>0</vt:i4>
      </vt:variant>
      <vt:variant>
        <vt:i4>5</vt:i4>
      </vt:variant>
      <vt:variant>
        <vt:lpwstr>https://tnfd.global/wp-content/uploads/2024/06/24-26270-TNFD-Discussion-Paper-–-Approach-to-Value-Chain-DIGITAL.pdf?v=1719522658</vt:lpwstr>
      </vt:variant>
      <vt:variant>
        <vt:lpwstr/>
      </vt:variant>
      <vt:variant>
        <vt:i4>6881322</vt:i4>
      </vt:variant>
      <vt:variant>
        <vt:i4>765</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4325461</vt:i4>
      </vt:variant>
      <vt:variant>
        <vt:i4>762</vt:i4>
      </vt:variant>
      <vt:variant>
        <vt:i4>0</vt:i4>
      </vt:variant>
      <vt:variant>
        <vt:i4>5</vt:i4>
      </vt:variant>
      <vt:variant>
        <vt:lpwstr>https://sciencebasedtargetsnetwork.org/wp-content/uploads/2023/05/Technical-Guidance-2023-Step1-Assess-v1.pdf</vt:lpwstr>
      </vt:variant>
      <vt:variant>
        <vt:lpwstr/>
      </vt:variant>
      <vt:variant>
        <vt:i4>3145729</vt:i4>
      </vt:variant>
      <vt:variant>
        <vt:i4>759</vt:i4>
      </vt:variant>
      <vt:variant>
        <vt:i4>0</vt:i4>
      </vt:variant>
      <vt:variant>
        <vt:i4>5</vt:i4>
      </vt:variant>
      <vt:variant>
        <vt:lpwstr>https://pbafglobal.com/files/downloads/PBAF_standard_assessment_of_dependenciesjune_2023.pdf</vt:lpwstr>
      </vt:variant>
      <vt:variant>
        <vt:lpwstr/>
      </vt:variant>
      <vt:variant>
        <vt:i4>8323150</vt:i4>
      </vt:variant>
      <vt:variant>
        <vt:i4>756</vt:i4>
      </vt:variant>
      <vt:variant>
        <vt:i4>0</vt:i4>
      </vt:variant>
      <vt:variant>
        <vt:i4>5</vt:i4>
      </vt:variant>
      <vt:variant>
        <vt:lpwstr>https://capitalscoalition.org/guide_supplement/finance-sector-supplement/</vt:lpwstr>
      </vt:variant>
      <vt:variant>
        <vt:lpwstr/>
      </vt:variant>
      <vt:variant>
        <vt:i4>3211278</vt:i4>
      </vt:variant>
      <vt:variant>
        <vt:i4>753</vt:i4>
      </vt:variant>
      <vt:variant>
        <vt:i4>0</vt:i4>
      </vt:variant>
      <vt:variant>
        <vt:i4>5</vt:i4>
      </vt:variant>
      <vt:variant>
        <vt:lpwstr>https://capitalscoalition.org/capitals-approach/natural-capital-protocol/?fwp_filter_tabs=guide_supplement</vt:lpwstr>
      </vt:variant>
      <vt:variant>
        <vt:lpwstr/>
      </vt:variant>
      <vt:variant>
        <vt:i4>983061</vt:i4>
      </vt:variant>
      <vt:variant>
        <vt:i4>750</vt:i4>
      </vt:variant>
      <vt:variant>
        <vt:i4>0</vt:i4>
      </vt:variant>
      <vt:variant>
        <vt:i4>5</vt:i4>
      </vt:variant>
      <vt:variant>
        <vt:lpwstr>https://www.unepfi.org/publications/accountability-for-nature-comparison-of-nature-related-assessment-and-disclosure-frameworks-and-standards-3/</vt:lpwstr>
      </vt:variant>
      <vt:variant>
        <vt:lpwstr/>
      </vt:variant>
      <vt:variant>
        <vt:i4>5046276</vt:i4>
      </vt:variant>
      <vt:variant>
        <vt:i4>747</vt:i4>
      </vt:variant>
      <vt:variant>
        <vt:i4>0</vt:i4>
      </vt:variant>
      <vt:variant>
        <vt:i4>5</vt:i4>
      </vt:variant>
      <vt:variant>
        <vt:lpwstr>https://www.cdp.net/en/about/framework-alignment</vt:lpwstr>
      </vt:variant>
      <vt:variant>
        <vt:lpwstr/>
      </vt:variant>
      <vt:variant>
        <vt:i4>6881322</vt:i4>
      </vt:variant>
      <vt:variant>
        <vt:i4>744</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6881322</vt:i4>
      </vt:variant>
      <vt:variant>
        <vt:i4>741</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1245255</vt:i4>
      </vt:variant>
      <vt:variant>
        <vt:i4>738</vt:i4>
      </vt:variant>
      <vt:variant>
        <vt:i4>0</vt:i4>
      </vt:variant>
      <vt:variant>
        <vt:i4>5</vt:i4>
      </vt:variant>
      <vt:variant>
        <vt:lpwstr>https://eur-lex.europa.eu/legal-content/en/TXT/?uri=CELEX:32023R2772</vt:lpwstr>
      </vt:variant>
      <vt:variant>
        <vt:lpwstr/>
      </vt:variant>
      <vt:variant>
        <vt:i4>1245255</vt:i4>
      </vt:variant>
      <vt:variant>
        <vt:i4>735</vt:i4>
      </vt:variant>
      <vt:variant>
        <vt:i4>0</vt:i4>
      </vt:variant>
      <vt:variant>
        <vt:i4>5</vt:i4>
      </vt:variant>
      <vt:variant>
        <vt:lpwstr>https://eur-lex.europa.eu/legal-content/en/TXT/?uri=CELEX:32023R2772</vt:lpwstr>
      </vt:variant>
      <vt:variant>
        <vt:lpwstr/>
      </vt:variant>
      <vt:variant>
        <vt:i4>1122416</vt:i4>
      </vt:variant>
      <vt:variant>
        <vt:i4>732</vt:i4>
      </vt:variant>
      <vt:variant>
        <vt:i4>0</vt:i4>
      </vt:variant>
      <vt:variant>
        <vt:i4>5</vt:i4>
      </vt:variant>
      <vt:variant>
        <vt:lpwstr>https://tnfd.global/wp-content/uploads/2024/06/24-26270-TNFD-Discussion-Paper-–-Approach-to-Value-Chain-DIGITAL.pdf?v=1719522658</vt:lpwstr>
      </vt:variant>
      <vt:variant>
        <vt:lpwstr/>
      </vt:variant>
      <vt:variant>
        <vt:i4>6881322</vt:i4>
      </vt:variant>
      <vt:variant>
        <vt:i4>729</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4325461</vt:i4>
      </vt:variant>
      <vt:variant>
        <vt:i4>726</vt:i4>
      </vt:variant>
      <vt:variant>
        <vt:i4>0</vt:i4>
      </vt:variant>
      <vt:variant>
        <vt:i4>5</vt:i4>
      </vt:variant>
      <vt:variant>
        <vt:lpwstr>https://sciencebasedtargetsnetwork.org/wp-content/uploads/2023/05/Technical-Guidance-2023-Step1-Assess-v1.pdf</vt:lpwstr>
      </vt:variant>
      <vt:variant>
        <vt:lpwstr/>
      </vt:variant>
      <vt:variant>
        <vt:i4>5636209</vt:i4>
      </vt:variant>
      <vt:variant>
        <vt:i4>723</vt:i4>
      </vt:variant>
      <vt:variant>
        <vt:i4>0</vt:i4>
      </vt:variant>
      <vt:variant>
        <vt:i4>5</vt:i4>
      </vt:variant>
      <vt:variant>
        <vt:lpwstr>https://pbafglobal.com/files/downloads/PBAF_OA2022.pdf</vt:lpwstr>
      </vt:variant>
      <vt:variant>
        <vt:lpwstr/>
      </vt:variant>
      <vt:variant>
        <vt:i4>8323150</vt:i4>
      </vt:variant>
      <vt:variant>
        <vt:i4>720</vt:i4>
      </vt:variant>
      <vt:variant>
        <vt:i4>0</vt:i4>
      </vt:variant>
      <vt:variant>
        <vt:i4>5</vt:i4>
      </vt:variant>
      <vt:variant>
        <vt:lpwstr>https://capitalscoalition.org/guide_supplement/finance-sector-supplement/</vt:lpwstr>
      </vt:variant>
      <vt:variant>
        <vt:lpwstr/>
      </vt:variant>
      <vt:variant>
        <vt:i4>3211278</vt:i4>
      </vt:variant>
      <vt:variant>
        <vt:i4>717</vt:i4>
      </vt:variant>
      <vt:variant>
        <vt:i4>0</vt:i4>
      </vt:variant>
      <vt:variant>
        <vt:i4>5</vt:i4>
      </vt:variant>
      <vt:variant>
        <vt:lpwstr>https://capitalscoalition.org/capitals-approach/natural-capital-protocol/?fwp_filter_tabs=guide_supplement</vt:lpwstr>
      </vt:variant>
      <vt:variant>
        <vt:lpwstr/>
      </vt:variant>
      <vt:variant>
        <vt:i4>983061</vt:i4>
      </vt:variant>
      <vt:variant>
        <vt:i4>714</vt:i4>
      </vt:variant>
      <vt:variant>
        <vt:i4>0</vt:i4>
      </vt:variant>
      <vt:variant>
        <vt:i4>5</vt:i4>
      </vt:variant>
      <vt:variant>
        <vt:lpwstr>https://www.unepfi.org/publications/accountability-for-nature-comparison-of-nature-related-assessment-and-disclosure-frameworks-and-standards-3/</vt:lpwstr>
      </vt:variant>
      <vt:variant>
        <vt:lpwstr/>
      </vt:variant>
      <vt:variant>
        <vt:i4>983082</vt:i4>
      </vt:variant>
      <vt:variant>
        <vt:i4>711</vt:i4>
      </vt:variant>
      <vt:variant>
        <vt:i4>0</vt:i4>
      </vt:variant>
      <vt:variant>
        <vt:i4>5</vt:i4>
      </vt:variant>
      <vt:variant>
        <vt:lpwstr>https://www.naturefinance.net/wp-content/uploads/2022/09/F4B_Climate-Nature-Nexus_Implications-for-Financial-Sector_20210527.pdf</vt:lpwstr>
      </vt:variant>
      <vt:variant>
        <vt:lpwstr/>
      </vt:variant>
      <vt:variant>
        <vt:i4>2949150</vt:i4>
      </vt:variant>
      <vt:variant>
        <vt:i4>708</vt:i4>
      </vt:variant>
      <vt:variant>
        <vt:i4>0</vt:i4>
      </vt:variant>
      <vt:variant>
        <vt:i4>5</vt:i4>
      </vt:variant>
      <vt:variant>
        <vt:lpwstr>https://www.ngfs.net/system/files/import/ngfs/medias/documents/ngfs_occasional_paper_green-scorpion_macrocriticality_nature_for_finance.pdf</vt:lpwstr>
      </vt:variant>
      <vt:variant>
        <vt:lpwstr/>
      </vt:variant>
      <vt:variant>
        <vt:i4>2949150</vt:i4>
      </vt:variant>
      <vt:variant>
        <vt:i4>705</vt:i4>
      </vt:variant>
      <vt:variant>
        <vt:i4>0</vt:i4>
      </vt:variant>
      <vt:variant>
        <vt:i4>5</vt:i4>
      </vt:variant>
      <vt:variant>
        <vt:lpwstr>https://www.ngfs.net/system/files/import/ngfs/medias/documents/ngfs_occasional_paper_green-scorpion_macrocriticality_nature_for_finance.pdf</vt:lpwstr>
      </vt:variant>
      <vt:variant>
        <vt:lpwstr/>
      </vt:variant>
      <vt:variant>
        <vt:i4>2949150</vt:i4>
      </vt:variant>
      <vt:variant>
        <vt:i4>702</vt:i4>
      </vt:variant>
      <vt:variant>
        <vt:i4>0</vt:i4>
      </vt:variant>
      <vt:variant>
        <vt:i4>5</vt:i4>
      </vt:variant>
      <vt:variant>
        <vt:lpwstr>https://www.ngfs.net/system/files/import/ngfs/medias/documents/ngfs_occasional_paper_green-scorpion_macrocriticality_nature_for_finance.pdf</vt:lpwstr>
      </vt:variant>
      <vt:variant>
        <vt:lpwstr/>
      </vt:variant>
      <vt:variant>
        <vt:i4>2949150</vt:i4>
      </vt:variant>
      <vt:variant>
        <vt:i4>699</vt:i4>
      </vt:variant>
      <vt:variant>
        <vt:i4>0</vt:i4>
      </vt:variant>
      <vt:variant>
        <vt:i4>5</vt:i4>
      </vt:variant>
      <vt:variant>
        <vt:lpwstr>https://www.ngfs.net/system/files/import/ngfs/medias/documents/ngfs_occasional_paper_green-scorpion_macrocriticality_nature_for_finance.pdf</vt:lpwstr>
      </vt:variant>
      <vt:variant>
        <vt:lpwstr/>
      </vt:variant>
      <vt:variant>
        <vt:i4>4653146</vt:i4>
      </vt:variant>
      <vt:variant>
        <vt:i4>696</vt:i4>
      </vt:variant>
      <vt:variant>
        <vt:i4>0</vt:i4>
      </vt:variant>
      <vt:variant>
        <vt:i4>5</vt:i4>
      </vt:variant>
      <vt:variant>
        <vt:lpwstr>https://wwflpr.awsassets.panda.org/downloads/2024-living-planet-report-a-system-in-peril.pdf</vt:lpwstr>
      </vt:variant>
      <vt:variant>
        <vt:lpwstr/>
      </vt:variant>
      <vt:variant>
        <vt:i4>4653146</vt:i4>
      </vt:variant>
      <vt:variant>
        <vt:i4>693</vt:i4>
      </vt:variant>
      <vt:variant>
        <vt:i4>0</vt:i4>
      </vt:variant>
      <vt:variant>
        <vt:i4>5</vt:i4>
      </vt:variant>
      <vt:variant>
        <vt:lpwstr>https://wwflpr.awsassets.panda.org/downloads/2024-living-planet-report-a-system-in-peril.pdf</vt:lpwstr>
      </vt:variant>
      <vt:variant>
        <vt:lpwstr/>
      </vt:variant>
      <vt:variant>
        <vt:i4>2818166</vt:i4>
      </vt:variant>
      <vt:variant>
        <vt:i4>690</vt:i4>
      </vt:variant>
      <vt:variant>
        <vt:i4>0</vt:i4>
      </vt:variant>
      <vt:variant>
        <vt:i4>5</vt:i4>
      </vt:variant>
      <vt:variant>
        <vt:lpwstr>https://ipbes.canto.de/v/IPBES11Media/album/MGKB5?display=fitView&amp;viewIndex=0&amp;gSortingForward=false&amp;gOrderProp=uploadDate&amp;referenceTo=&amp;from=fitView</vt:lpwstr>
      </vt:variant>
      <vt:variant>
        <vt:lpwstr/>
      </vt:variant>
      <vt:variant>
        <vt:i4>7995453</vt:i4>
      </vt:variant>
      <vt:variant>
        <vt:i4>687</vt:i4>
      </vt:variant>
      <vt:variant>
        <vt:i4>0</vt:i4>
      </vt:variant>
      <vt:variant>
        <vt:i4>5</vt:i4>
      </vt:variant>
      <vt:variant>
        <vt:lpwstr>https://assets.publishing.service.gov.uk/media/602e92b2e90e07660f807b47/The_Economics_of_Biodiversity_The_Dasgupta_Review_Full_Report.pdf</vt:lpwstr>
      </vt:variant>
      <vt:variant>
        <vt:lpwstr/>
      </vt:variant>
      <vt:variant>
        <vt:i4>6881322</vt:i4>
      </vt:variant>
      <vt:variant>
        <vt:i4>684</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6881322</vt:i4>
      </vt:variant>
      <vt:variant>
        <vt:i4>681</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5832788</vt:i4>
      </vt:variant>
      <vt:variant>
        <vt:i4>678</vt:i4>
      </vt:variant>
      <vt:variant>
        <vt:i4>0</vt:i4>
      </vt:variant>
      <vt:variant>
        <vt:i4>5</vt:i4>
      </vt:variant>
      <vt:variant>
        <vt:lpwstr>https://www.cbd.int/convention/articles?a=cbd-02</vt:lpwstr>
      </vt:variant>
      <vt:variant>
        <vt:lpwstr/>
      </vt:variant>
      <vt:variant>
        <vt:i4>5505049</vt:i4>
      </vt:variant>
      <vt:variant>
        <vt:i4>675</vt:i4>
      </vt:variant>
      <vt:variant>
        <vt:i4>0</vt:i4>
      </vt:variant>
      <vt:variant>
        <vt:i4>5</vt:i4>
      </vt:variant>
      <vt:variant>
        <vt:lpwstr>https://seea.un.org/ecosystem-accounting</vt:lpwstr>
      </vt:variant>
      <vt:variant>
        <vt:lpwstr/>
      </vt:variant>
      <vt:variant>
        <vt:i4>6881322</vt:i4>
      </vt:variant>
      <vt:variant>
        <vt:i4>672</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5505049</vt:i4>
      </vt:variant>
      <vt:variant>
        <vt:i4>669</vt:i4>
      </vt:variant>
      <vt:variant>
        <vt:i4>0</vt:i4>
      </vt:variant>
      <vt:variant>
        <vt:i4>5</vt:i4>
      </vt:variant>
      <vt:variant>
        <vt:lpwstr>https://seea.un.org/ecosystem-accounting</vt:lpwstr>
      </vt:variant>
      <vt:variant>
        <vt:lpwstr/>
      </vt:variant>
      <vt:variant>
        <vt:i4>5832788</vt:i4>
      </vt:variant>
      <vt:variant>
        <vt:i4>666</vt:i4>
      </vt:variant>
      <vt:variant>
        <vt:i4>0</vt:i4>
      </vt:variant>
      <vt:variant>
        <vt:i4>5</vt:i4>
      </vt:variant>
      <vt:variant>
        <vt:lpwstr>https://www.cbd.int/convention/articles?a=cbd-02</vt:lpwstr>
      </vt:variant>
      <vt:variant>
        <vt:lpwstr/>
      </vt:variant>
      <vt:variant>
        <vt:i4>5767193</vt:i4>
      </vt:variant>
      <vt:variant>
        <vt:i4>663</vt:i4>
      </vt:variant>
      <vt:variant>
        <vt:i4>0</vt:i4>
      </vt:variant>
      <vt:variant>
        <vt:i4>5</vt:i4>
      </vt:variant>
      <vt:variant>
        <vt:lpwstr>https://www.ipbes.net/document-library-catalogue/ipbes-conceptual-framework-connecting-nature-and-people</vt:lpwstr>
      </vt:variant>
      <vt:variant>
        <vt:lpwstr/>
      </vt:variant>
      <vt:variant>
        <vt:i4>720970</vt:i4>
      </vt:variant>
      <vt:variant>
        <vt:i4>660</vt:i4>
      </vt:variant>
      <vt:variant>
        <vt:i4>0</vt:i4>
      </vt:variant>
      <vt:variant>
        <vt:i4>5</vt:i4>
      </vt:variant>
      <vt:variant>
        <vt:lpwstr>https://www.ms-ad-hd.com/en/csr/main/01/teaserItems2/03/link/TCFD_TNFDReport_2023_EN_1212.pdf</vt:lpwstr>
      </vt:variant>
      <vt:variant>
        <vt:lpwstr/>
      </vt:variant>
      <vt:variant>
        <vt:i4>2752575</vt:i4>
      </vt:variant>
      <vt:variant>
        <vt:i4>657</vt:i4>
      </vt:variant>
      <vt:variant>
        <vt:i4>0</vt:i4>
      </vt:variant>
      <vt:variant>
        <vt:i4>5</vt:i4>
      </vt:variant>
      <vt:variant>
        <vt:lpwstr>https://www.tokiomarinehd.com/en/sustainability/pdf/sustainability_tnfdreport_202403.pdf</vt:lpwstr>
      </vt:variant>
      <vt:variant>
        <vt:lpwstr/>
      </vt:variant>
      <vt:variant>
        <vt:i4>1245255</vt:i4>
      </vt:variant>
      <vt:variant>
        <vt:i4>654</vt:i4>
      </vt:variant>
      <vt:variant>
        <vt:i4>0</vt:i4>
      </vt:variant>
      <vt:variant>
        <vt:i4>5</vt:i4>
      </vt:variant>
      <vt:variant>
        <vt:lpwstr>https://eur-lex.europa.eu/legal-content/en/TXT/?uri=CELEX:32023R2772</vt:lpwstr>
      </vt:variant>
      <vt:variant>
        <vt:lpwstr/>
      </vt:variant>
      <vt:variant>
        <vt:i4>6881322</vt:i4>
      </vt:variant>
      <vt:variant>
        <vt:i4>651</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6881322</vt:i4>
      </vt:variant>
      <vt:variant>
        <vt:i4>648</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2293780</vt:i4>
      </vt:variant>
      <vt:variant>
        <vt:i4>645</vt:i4>
      </vt:variant>
      <vt:variant>
        <vt:i4>0</vt:i4>
      </vt:variant>
      <vt:variant>
        <vt:i4>5</vt:i4>
      </vt:variant>
      <vt:variant>
        <vt:lpwstr>https://www.google.com/url?sa=t&amp;source=web&amp;rct=j&amp;opi=89978449&amp;url=https://www.asrnl.com/-/media/files/asrnederland-nl/duurzaam-ondernemen/ratings-en-benchmarks/2023-climate-and-biodiversity-report-asr.pdf&amp;ved=2ahUKEwifkd_Di_iLAxUjh_0HHUnDOroQFnoECAIQAQ&amp;usg=AOvVaw00ouRt-SCbjTWVUqSKnhWq</vt:lpwstr>
      </vt:variant>
      <vt:variant>
        <vt:lpwstr/>
      </vt:variant>
      <vt:variant>
        <vt:i4>720970</vt:i4>
      </vt:variant>
      <vt:variant>
        <vt:i4>642</vt:i4>
      </vt:variant>
      <vt:variant>
        <vt:i4>0</vt:i4>
      </vt:variant>
      <vt:variant>
        <vt:i4>5</vt:i4>
      </vt:variant>
      <vt:variant>
        <vt:lpwstr>https://www.ms-ad-hd.com/en/csr/main/01/teaserItems2/03/link/TCFD_TNFDReport_2023_EN_1212.pdf</vt:lpwstr>
      </vt:variant>
      <vt:variant>
        <vt:lpwstr/>
      </vt:variant>
      <vt:variant>
        <vt:i4>720970</vt:i4>
      </vt:variant>
      <vt:variant>
        <vt:i4>639</vt:i4>
      </vt:variant>
      <vt:variant>
        <vt:i4>0</vt:i4>
      </vt:variant>
      <vt:variant>
        <vt:i4>5</vt:i4>
      </vt:variant>
      <vt:variant>
        <vt:lpwstr>https://www.ms-ad-hd.com/en/csr/main/01/teaserItems2/03/link/TCFD_TNFDReport_2023_EN_1212.pdf</vt:lpwstr>
      </vt:variant>
      <vt:variant>
        <vt:lpwstr/>
      </vt:variant>
      <vt:variant>
        <vt:i4>2752575</vt:i4>
      </vt:variant>
      <vt:variant>
        <vt:i4>636</vt:i4>
      </vt:variant>
      <vt:variant>
        <vt:i4>0</vt:i4>
      </vt:variant>
      <vt:variant>
        <vt:i4>5</vt:i4>
      </vt:variant>
      <vt:variant>
        <vt:lpwstr>https://www.tokiomarinehd.com/en/sustainability/pdf/sustainability_tnfdreport_202403.pdf</vt:lpwstr>
      </vt:variant>
      <vt:variant>
        <vt:lpwstr/>
      </vt:variant>
      <vt:variant>
        <vt:i4>6815797</vt:i4>
      </vt:variant>
      <vt:variant>
        <vt:i4>633</vt:i4>
      </vt:variant>
      <vt:variant>
        <vt:i4>0</vt:i4>
      </vt:variant>
      <vt:variant>
        <vt:i4>5</vt:i4>
      </vt:variant>
      <vt:variant>
        <vt:lpwstr>https://www.sompo-hd.com/en/csr/materiality/topic2/</vt:lpwstr>
      </vt:variant>
      <vt:variant>
        <vt:lpwstr/>
      </vt:variant>
      <vt:variant>
        <vt:i4>4390967</vt:i4>
      </vt:variant>
      <vt:variant>
        <vt:i4>630</vt:i4>
      </vt:variant>
      <vt:variant>
        <vt:i4>0</vt:i4>
      </vt:variant>
      <vt:variant>
        <vt:i4>5</vt:i4>
      </vt:variant>
      <vt:variant>
        <vt:lpwstr>https://tnfd.global/wp-content/uploads/2023/09/Guidance_on_biomes_v1.pdf?v=1695138252</vt:lpwstr>
      </vt:variant>
      <vt:variant>
        <vt:lpwstr/>
      </vt:variant>
      <vt:variant>
        <vt:i4>2818085</vt:i4>
      </vt:variant>
      <vt:variant>
        <vt:i4>627</vt:i4>
      </vt:variant>
      <vt:variant>
        <vt:i4>0</vt:i4>
      </vt:variant>
      <vt:variant>
        <vt:i4>5</vt:i4>
      </vt:variant>
      <vt:variant>
        <vt:lpwstr>https://tnfd.global/wp-content/uploads/2025/01/Draft-sector-guidance-Marine-transportation-and-cruise-lines-1.pdf?v=1738585677</vt:lpwstr>
      </vt:variant>
      <vt:variant>
        <vt:lpwstr/>
      </vt:variant>
      <vt:variant>
        <vt:i4>2818085</vt:i4>
      </vt:variant>
      <vt:variant>
        <vt:i4>624</vt:i4>
      </vt:variant>
      <vt:variant>
        <vt:i4>0</vt:i4>
      </vt:variant>
      <vt:variant>
        <vt:i4>5</vt:i4>
      </vt:variant>
      <vt:variant>
        <vt:lpwstr>https://tnfd.global/wp-content/uploads/2025/01/Draft-sector-guidance-Marine-transportation-and-cruise-lines-1.pdf?v=1738585677</vt:lpwstr>
      </vt:variant>
      <vt:variant>
        <vt:lpwstr/>
      </vt:variant>
      <vt:variant>
        <vt:i4>2293780</vt:i4>
      </vt:variant>
      <vt:variant>
        <vt:i4>621</vt:i4>
      </vt:variant>
      <vt:variant>
        <vt:i4>0</vt:i4>
      </vt:variant>
      <vt:variant>
        <vt:i4>5</vt:i4>
      </vt:variant>
      <vt:variant>
        <vt:lpwstr>https://www.google.com/url?sa=t&amp;source=web&amp;rct=j&amp;opi=89978449&amp;url=https://www.asrnl.com/-/media/files/asrnederland-nl/duurzaam-ondernemen/ratings-en-benchmarks/2023-climate-and-biodiversity-report-asr.pdf&amp;ved=2ahUKEwifkd_Di_iLAxUjh_0HHUnDOroQFnoECAIQAQ&amp;usg=AOvVaw00ouRt-SCbjTWVUqSKnhWq</vt:lpwstr>
      </vt:variant>
      <vt:variant>
        <vt:lpwstr/>
      </vt:variant>
      <vt:variant>
        <vt:i4>2752575</vt:i4>
      </vt:variant>
      <vt:variant>
        <vt:i4>618</vt:i4>
      </vt:variant>
      <vt:variant>
        <vt:i4>0</vt:i4>
      </vt:variant>
      <vt:variant>
        <vt:i4>5</vt:i4>
      </vt:variant>
      <vt:variant>
        <vt:lpwstr>https://www.tokiomarinehd.com/en/sustainability/pdf/sustainability_tnfdreport_202403.pdf</vt:lpwstr>
      </vt:variant>
      <vt:variant>
        <vt:lpwstr/>
      </vt:variant>
      <vt:variant>
        <vt:i4>4718612</vt:i4>
      </vt:variant>
      <vt:variant>
        <vt:i4>615</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6881322</vt:i4>
      </vt:variant>
      <vt:variant>
        <vt:i4>612</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720970</vt:i4>
      </vt:variant>
      <vt:variant>
        <vt:i4>609</vt:i4>
      </vt:variant>
      <vt:variant>
        <vt:i4>0</vt:i4>
      </vt:variant>
      <vt:variant>
        <vt:i4>5</vt:i4>
      </vt:variant>
      <vt:variant>
        <vt:lpwstr>https://www.ms-ad-hd.com/en/csr/main/01/teaserItems2/03/link/TCFD_TNFDReport_2023_EN_1212.pdf</vt:lpwstr>
      </vt:variant>
      <vt:variant>
        <vt:lpwstr/>
      </vt:variant>
      <vt:variant>
        <vt:i4>851981</vt:i4>
      </vt:variant>
      <vt:variant>
        <vt:i4>606</vt:i4>
      </vt:variant>
      <vt:variant>
        <vt:i4>0</vt:i4>
      </vt:variant>
      <vt:variant>
        <vt:i4>5</vt:i4>
      </vt:variant>
      <vt:variant>
        <vt:lpwstr>https://riskfilter.org/data-&amp;-methods</vt:lpwstr>
      </vt:variant>
      <vt:variant>
        <vt:lpwstr/>
      </vt:variant>
      <vt:variant>
        <vt:i4>851981</vt:i4>
      </vt:variant>
      <vt:variant>
        <vt:i4>603</vt:i4>
      </vt:variant>
      <vt:variant>
        <vt:i4>0</vt:i4>
      </vt:variant>
      <vt:variant>
        <vt:i4>5</vt:i4>
      </vt:variant>
      <vt:variant>
        <vt:lpwstr>https://riskfilter.org/data-&amp;-methods</vt:lpwstr>
      </vt:variant>
      <vt:variant>
        <vt:lpwstr/>
      </vt:variant>
      <vt:variant>
        <vt:i4>6881322</vt:i4>
      </vt:variant>
      <vt:variant>
        <vt:i4>600</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720970</vt:i4>
      </vt:variant>
      <vt:variant>
        <vt:i4>597</vt:i4>
      </vt:variant>
      <vt:variant>
        <vt:i4>0</vt:i4>
      </vt:variant>
      <vt:variant>
        <vt:i4>5</vt:i4>
      </vt:variant>
      <vt:variant>
        <vt:lpwstr>https://www.ms-ad-hd.com/en/csr/main/01/teaserItems2/03/link/TCFD_TNFDReport_2023_EN_1212.pdf</vt:lpwstr>
      </vt:variant>
      <vt:variant>
        <vt:lpwstr/>
      </vt:variant>
      <vt:variant>
        <vt:i4>2752575</vt:i4>
      </vt:variant>
      <vt:variant>
        <vt:i4>594</vt:i4>
      </vt:variant>
      <vt:variant>
        <vt:i4>0</vt:i4>
      </vt:variant>
      <vt:variant>
        <vt:i4>5</vt:i4>
      </vt:variant>
      <vt:variant>
        <vt:lpwstr>https://www.tokiomarinehd.com/en/sustainability/pdf/sustainability_tnfdreport_202403.pdf</vt:lpwstr>
      </vt:variant>
      <vt:variant>
        <vt:lpwstr/>
      </vt:variant>
      <vt:variant>
        <vt:i4>2752575</vt:i4>
      </vt:variant>
      <vt:variant>
        <vt:i4>591</vt:i4>
      </vt:variant>
      <vt:variant>
        <vt:i4>0</vt:i4>
      </vt:variant>
      <vt:variant>
        <vt:i4>5</vt:i4>
      </vt:variant>
      <vt:variant>
        <vt:lpwstr>https://www.tokiomarinehd.com/en/sustainability/pdf/sustainability_tnfdreport_202403.pdf</vt:lpwstr>
      </vt:variant>
      <vt:variant>
        <vt:lpwstr/>
      </vt:variant>
      <vt:variant>
        <vt:i4>720970</vt:i4>
      </vt:variant>
      <vt:variant>
        <vt:i4>588</vt:i4>
      </vt:variant>
      <vt:variant>
        <vt:i4>0</vt:i4>
      </vt:variant>
      <vt:variant>
        <vt:i4>5</vt:i4>
      </vt:variant>
      <vt:variant>
        <vt:lpwstr>https://www.ms-ad-hd.com/en/csr/main/01/teaserItems2/03/link/TCFD_TNFDReport_2023_EN_1212.pdf</vt:lpwstr>
      </vt:variant>
      <vt:variant>
        <vt:lpwstr/>
      </vt:variant>
      <vt:variant>
        <vt:i4>2293780</vt:i4>
      </vt:variant>
      <vt:variant>
        <vt:i4>585</vt:i4>
      </vt:variant>
      <vt:variant>
        <vt:i4>0</vt:i4>
      </vt:variant>
      <vt:variant>
        <vt:i4>5</vt:i4>
      </vt:variant>
      <vt:variant>
        <vt:lpwstr>https://www.google.com/url?sa=t&amp;source=web&amp;rct=j&amp;opi=89978449&amp;url=https://www.asrnl.com/-/media/files/asrnederland-nl/duurzaam-ondernemen/ratings-en-benchmarks/2023-climate-and-biodiversity-report-asr.pdf&amp;ved=2ahUKEwifkd_Di_iLAxUjh_0HHUnDOroQFnoECAIQAQ&amp;usg=AOvVaw00ouRt-SCbjTWVUqSKnhWq</vt:lpwstr>
      </vt:variant>
      <vt:variant>
        <vt:lpwstr/>
      </vt:variant>
      <vt:variant>
        <vt:i4>6815797</vt:i4>
      </vt:variant>
      <vt:variant>
        <vt:i4>582</vt:i4>
      </vt:variant>
      <vt:variant>
        <vt:i4>0</vt:i4>
      </vt:variant>
      <vt:variant>
        <vt:i4>5</vt:i4>
      </vt:variant>
      <vt:variant>
        <vt:lpwstr>https://www.sompo-hd.com/en/csr/materiality/topic2/</vt:lpwstr>
      </vt:variant>
      <vt:variant>
        <vt:lpwstr/>
      </vt:variant>
      <vt:variant>
        <vt:i4>2752575</vt:i4>
      </vt:variant>
      <vt:variant>
        <vt:i4>579</vt:i4>
      </vt:variant>
      <vt:variant>
        <vt:i4>0</vt:i4>
      </vt:variant>
      <vt:variant>
        <vt:i4>5</vt:i4>
      </vt:variant>
      <vt:variant>
        <vt:lpwstr>https://www.tokiomarinehd.com/en/sustainability/pdf/sustainability_tnfdreport_202403.pdf</vt:lpwstr>
      </vt:variant>
      <vt:variant>
        <vt:lpwstr/>
      </vt:variant>
      <vt:variant>
        <vt:i4>720970</vt:i4>
      </vt:variant>
      <vt:variant>
        <vt:i4>576</vt:i4>
      </vt:variant>
      <vt:variant>
        <vt:i4>0</vt:i4>
      </vt:variant>
      <vt:variant>
        <vt:i4>5</vt:i4>
      </vt:variant>
      <vt:variant>
        <vt:lpwstr>https://www.ms-ad-hd.com/en/csr/main/01/teaserItems2/03/link/TCFD_TNFDReport_2023_EN_1212.pdf</vt:lpwstr>
      </vt:variant>
      <vt:variant>
        <vt:lpwstr/>
      </vt:variant>
      <vt:variant>
        <vt:i4>6881322</vt:i4>
      </vt:variant>
      <vt:variant>
        <vt:i4>573</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6881322</vt:i4>
      </vt:variant>
      <vt:variant>
        <vt:i4>570</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4718612</vt:i4>
      </vt:variant>
      <vt:variant>
        <vt:i4>567</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8323150</vt:i4>
      </vt:variant>
      <vt:variant>
        <vt:i4>564</vt:i4>
      </vt:variant>
      <vt:variant>
        <vt:i4>0</vt:i4>
      </vt:variant>
      <vt:variant>
        <vt:i4>5</vt:i4>
      </vt:variant>
      <vt:variant>
        <vt:lpwstr>https://capitalscoalition.org/guide_supplement/finance-sector-supplement/</vt:lpwstr>
      </vt:variant>
      <vt:variant>
        <vt:lpwstr/>
      </vt:variant>
      <vt:variant>
        <vt:i4>458828</vt:i4>
      </vt:variant>
      <vt:variant>
        <vt:i4>561</vt:i4>
      </vt:variant>
      <vt:variant>
        <vt:i4>0</vt:i4>
      </vt:variant>
      <vt:variant>
        <vt:i4>5</vt:i4>
      </vt:variant>
      <vt:variant>
        <vt:lpwstr>https://tnfd.global/publication/getting-started-with-adoption-of-the-tnfd-recommendations/</vt:lpwstr>
      </vt:variant>
      <vt:variant>
        <vt:lpwstr>publication-content</vt:lpwstr>
      </vt:variant>
      <vt:variant>
        <vt:i4>4718612</vt:i4>
      </vt:variant>
      <vt:variant>
        <vt:i4>558</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3604508</vt:i4>
      </vt:variant>
      <vt:variant>
        <vt:i4>555</vt:i4>
      </vt:variant>
      <vt:variant>
        <vt:i4>0</vt:i4>
      </vt:variant>
      <vt:variant>
        <vt:i4>5</vt:i4>
      </vt:variant>
      <vt:variant>
        <vt:lpwstr>https://www.genevaassociation.org/sites/default/files/2024-02/cch-report_web-270224.pdf</vt:lpwstr>
      </vt:variant>
      <vt:variant>
        <vt:lpwstr/>
      </vt:variant>
      <vt:variant>
        <vt:i4>7274620</vt:i4>
      </vt:variant>
      <vt:variant>
        <vt:i4>552</vt:i4>
      </vt:variant>
      <vt:variant>
        <vt:i4>0</vt:i4>
      </vt:variant>
      <vt:variant>
        <vt:i4>5</vt:i4>
      </vt:variant>
      <vt:variant>
        <vt:lpwstr>https://www.cbd.int/health/sok-biodiversity-en.pdf</vt:lpwstr>
      </vt:variant>
      <vt:variant>
        <vt:lpwstr/>
      </vt:variant>
      <vt:variant>
        <vt:i4>7274620</vt:i4>
      </vt:variant>
      <vt:variant>
        <vt:i4>549</vt:i4>
      </vt:variant>
      <vt:variant>
        <vt:i4>0</vt:i4>
      </vt:variant>
      <vt:variant>
        <vt:i4>5</vt:i4>
      </vt:variant>
      <vt:variant>
        <vt:lpwstr>https://www.cbd.int/health/sok-biodiversity-en.pdf</vt:lpwstr>
      </vt:variant>
      <vt:variant>
        <vt:lpwstr/>
      </vt:variant>
      <vt:variant>
        <vt:i4>851983</vt:i4>
      </vt:variant>
      <vt:variant>
        <vt:i4>546</vt:i4>
      </vt:variant>
      <vt:variant>
        <vt:i4>0</vt:i4>
      </vt:variant>
      <vt:variant>
        <vt:i4>5</vt:i4>
      </vt:variant>
      <vt:variant>
        <vt:lpwstr>https://pubmed.ncbi.nlm.nih.gov/37972601/</vt:lpwstr>
      </vt:variant>
      <vt:variant>
        <vt:lpwstr/>
      </vt:variant>
      <vt:variant>
        <vt:i4>4849715</vt:i4>
      </vt:variant>
      <vt:variant>
        <vt:i4>543</vt:i4>
      </vt:variant>
      <vt:variant>
        <vt:i4>0</vt:i4>
      </vt:variant>
      <vt:variant>
        <vt:i4>5</vt:i4>
      </vt:variant>
      <vt:variant>
        <vt:lpwstr>https://onlinelibrary.wiley.com/doi/full/10.1111/jphp.12976?utm_source=chatgpt.com</vt:lpwstr>
      </vt:variant>
      <vt:variant>
        <vt:lpwstr/>
      </vt:variant>
      <vt:variant>
        <vt:i4>851973</vt:i4>
      </vt:variant>
      <vt:variant>
        <vt:i4>540</vt:i4>
      </vt:variant>
      <vt:variant>
        <vt:i4>0</vt:i4>
      </vt:variant>
      <vt:variant>
        <vt:i4>5</vt:i4>
      </vt:variant>
      <vt:variant>
        <vt:lpwstr>https://iris.who.int/bitstream/handle/10665/341376/9789289055581-eng.pdf</vt:lpwstr>
      </vt:variant>
      <vt:variant>
        <vt:lpwstr/>
      </vt:variant>
      <vt:variant>
        <vt:i4>851973</vt:i4>
      </vt:variant>
      <vt:variant>
        <vt:i4>537</vt:i4>
      </vt:variant>
      <vt:variant>
        <vt:i4>0</vt:i4>
      </vt:variant>
      <vt:variant>
        <vt:i4>5</vt:i4>
      </vt:variant>
      <vt:variant>
        <vt:lpwstr>https://iris.who.int/bitstream/handle/10665/341376/9789289055581-eng.pdf</vt:lpwstr>
      </vt:variant>
      <vt:variant>
        <vt:lpwstr/>
      </vt:variant>
      <vt:variant>
        <vt:i4>851973</vt:i4>
      </vt:variant>
      <vt:variant>
        <vt:i4>534</vt:i4>
      </vt:variant>
      <vt:variant>
        <vt:i4>0</vt:i4>
      </vt:variant>
      <vt:variant>
        <vt:i4>5</vt:i4>
      </vt:variant>
      <vt:variant>
        <vt:lpwstr>https://iris.who.int/bitstream/handle/10665/341376/9789289055581-eng.pdf</vt:lpwstr>
      </vt:variant>
      <vt:variant>
        <vt:lpwstr/>
      </vt:variant>
      <vt:variant>
        <vt:i4>5439569</vt:i4>
      </vt:variant>
      <vt:variant>
        <vt:i4>531</vt:i4>
      </vt:variant>
      <vt:variant>
        <vt:i4>0</vt:i4>
      </vt:variant>
      <vt:variant>
        <vt:i4>5</vt:i4>
      </vt:variant>
      <vt:variant>
        <vt:lpwstr>https://encorenature.org/en/explore?tab=dependencies</vt:lpwstr>
      </vt:variant>
      <vt:variant>
        <vt:lpwstr/>
      </vt:variant>
      <vt:variant>
        <vt:i4>65606</vt:i4>
      </vt:variant>
      <vt:variant>
        <vt:i4>528</vt:i4>
      </vt:variant>
      <vt:variant>
        <vt:i4>0</vt:i4>
      </vt:variant>
      <vt:variant>
        <vt:i4>5</vt:i4>
      </vt:variant>
      <vt:variant>
        <vt:lpwstr>https://tnfd.global/wp-content/uploads/2024/06/Additional-Sector-Guidance-Biotech-and-Pharma.pdf?v=1719525490</vt:lpwstr>
      </vt:variant>
      <vt:variant>
        <vt:lpwstr/>
      </vt:variant>
      <vt:variant>
        <vt:i4>7274620</vt:i4>
      </vt:variant>
      <vt:variant>
        <vt:i4>525</vt:i4>
      </vt:variant>
      <vt:variant>
        <vt:i4>0</vt:i4>
      </vt:variant>
      <vt:variant>
        <vt:i4>5</vt:i4>
      </vt:variant>
      <vt:variant>
        <vt:lpwstr>https://www.cbd.int/health/sok-biodiversity-en.pdf</vt:lpwstr>
      </vt:variant>
      <vt:variant>
        <vt:lpwstr/>
      </vt:variant>
      <vt:variant>
        <vt:i4>7405612</vt:i4>
      </vt:variant>
      <vt:variant>
        <vt:i4>522</vt:i4>
      </vt:variant>
      <vt:variant>
        <vt:i4>0</vt:i4>
      </vt:variant>
      <vt:variant>
        <vt:i4>5</vt:i4>
      </vt:variant>
      <vt:variant>
        <vt:lpwstr>https://besjournals.onlinelibrary.wiley.com/doi/full/10.1002/pan3.10050</vt:lpwstr>
      </vt:variant>
      <vt:variant>
        <vt:lpwstr/>
      </vt:variant>
      <vt:variant>
        <vt:i4>262145</vt:i4>
      </vt:variant>
      <vt:variant>
        <vt:i4>519</vt:i4>
      </vt:variant>
      <vt:variant>
        <vt:i4>0</vt:i4>
      </vt:variant>
      <vt:variant>
        <vt:i4>5</vt:i4>
      </vt:variant>
      <vt:variant>
        <vt:lpwstr>https://pubmed.ncbi.nlm.nih.gov/35621920/</vt:lpwstr>
      </vt:variant>
      <vt:variant>
        <vt:lpwstr/>
      </vt:variant>
      <vt:variant>
        <vt:i4>7405612</vt:i4>
      </vt:variant>
      <vt:variant>
        <vt:i4>516</vt:i4>
      </vt:variant>
      <vt:variant>
        <vt:i4>0</vt:i4>
      </vt:variant>
      <vt:variant>
        <vt:i4>5</vt:i4>
      </vt:variant>
      <vt:variant>
        <vt:lpwstr>https://besjournals.onlinelibrary.wiley.com/doi/full/10.1002/pan3.10050</vt:lpwstr>
      </vt:variant>
      <vt:variant>
        <vt:lpwstr/>
      </vt:variant>
      <vt:variant>
        <vt:i4>7274620</vt:i4>
      </vt:variant>
      <vt:variant>
        <vt:i4>513</vt:i4>
      </vt:variant>
      <vt:variant>
        <vt:i4>0</vt:i4>
      </vt:variant>
      <vt:variant>
        <vt:i4>5</vt:i4>
      </vt:variant>
      <vt:variant>
        <vt:lpwstr>https://www.cbd.int/health/sok-biodiversity-en.pdf</vt:lpwstr>
      </vt:variant>
      <vt:variant>
        <vt:lpwstr/>
      </vt:variant>
      <vt:variant>
        <vt:i4>4194323</vt:i4>
      </vt:variant>
      <vt:variant>
        <vt:i4>510</vt:i4>
      </vt:variant>
      <vt:variant>
        <vt:i4>0</vt:i4>
      </vt:variant>
      <vt:variant>
        <vt:i4>5</vt:i4>
      </vt:variant>
      <vt:variant>
        <vt:lpwstr>https://www.cbd.int/doc/c/bd4f/2861/9dce4f46d43a637231a442e0/cop-16-l-32-rev1-en.pdf</vt:lpwstr>
      </vt:variant>
      <vt:variant>
        <vt:lpwstr/>
      </vt:variant>
      <vt:variant>
        <vt:i4>7274620</vt:i4>
      </vt:variant>
      <vt:variant>
        <vt:i4>507</vt:i4>
      </vt:variant>
      <vt:variant>
        <vt:i4>0</vt:i4>
      </vt:variant>
      <vt:variant>
        <vt:i4>5</vt:i4>
      </vt:variant>
      <vt:variant>
        <vt:lpwstr>https://www.cbd.int/health/sok-biodiversity-en.pdf</vt:lpwstr>
      </vt:variant>
      <vt:variant>
        <vt:lpwstr/>
      </vt:variant>
      <vt:variant>
        <vt:i4>4718612</vt:i4>
      </vt:variant>
      <vt:variant>
        <vt:i4>504</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4718612</vt:i4>
      </vt:variant>
      <vt:variant>
        <vt:i4>501</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3276861</vt:i4>
      </vt:variant>
      <vt:variant>
        <vt:i4>498</vt:i4>
      </vt:variant>
      <vt:variant>
        <vt:i4>0</vt:i4>
      </vt:variant>
      <vt:variant>
        <vt:i4>5</vt:i4>
      </vt:variant>
      <vt:variant>
        <vt:lpwstr>https://carbonaccountingfinancials.com/files/downloads/pcaf-standard-part-c-insurance-associated-emissions-nov-2022.pdf</vt:lpwstr>
      </vt:variant>
      <vt:variant>
        <vt:lpwstr/>
      </vt:variant>
      <vt:variant>
        <vt:i4>3276861</vt:i4>
      </vt:variant>
      <vt:variant>
        <vt:i4>495</vt:i4>
      </vt:variant>
      <vt:variant>
        <vt:i4>0</vt:i4>
      </vt:variant>
      <vt:variant>
        <vt:i4>5</vt:i4>
      </vt:variant>
      <vt:variant>
        <vt:lpwstr>https://carbonaccountingfinancials.com/files/downloads/pcaf-standard-part-c-insurance-associated-emissions-nov-2022.pdf</vt:lpwstr>
      </vt:variant>
      <vt:variant>
        <vt:lpwstr/>
      </vt:variant>
      <vt:variant>
        <vt:i4>4718612</vt:i4>
      </vt:variant>
      <vt:variant>
        <vt:i4>492</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2949150</vt:i4>
      </vt:variant>
      <vt:variant>
        <vt:i4>489</vt:i4>
      </vt:variant>
      <vt:variant>
        <vt:i4>0</vt:i4>
      </vt:variant>
      <vt:variant>
        <vt:i4>5</vt:i4>
      </vt:variant>
      <vt:variant>
        <vt:lpwstr>https://www.ngfs.net/system/files/import/ngfs/medias/documents/ngfs_occasional_paper_green-scorpion_macrocriticality_nature_for_finance.pdf</vt:lpwstr>
      </vt:variant>
      <vt:variant>
        <vt:lpwstr/>
      </vt:variant>
      <vt:variant>
        <vt:i4>2949150</vt:i4>
      </vt:variant>
      <vt:variant>
        <vt:i4>486</vt:i4>
      </vt:variant>
      <vt:variant>
        <vt:i4>0</vt:i4>
      </vt:variant>
      <vt:variant>
        <vt:i4>5</vt:i4>
      </vt:variant>
      <vt:variant>
        <vt:lpwstr>https://www.ngfs.net/system/files/import/ngfs/medias/documents/ngfs_occasional_paper_green-scorpion_macrocriticality_nature_for_finance.pdf</vt:lpwstr>
      </vt:variant>
      <vt:variant>
        <vt:lpwstr/>
      </vt:variant>
      <vt:variant>
        <vt:i4>2949150</vt:i4>
      </vt:variant>
      <vt:variant>
        <vt:i4>483</vt:i4>
      </vt:variant>
      <vt:variant>
        <vt:i4>0</vt:i4>
      </vt:variant>
      <vt:variant>
        <vt:i4>5</vt:i4>
      </vt:variant>
      <vt:variant>
        <vt:lpwstr>https://www.ngfs.net/system/files/import/ngfs/medias/documents/ngfs_occasional_paper_green-scorpion_macrocriticality_nature_for_finance.pdf</vt:lpwstr>
      </vt:variant>
      <vt:variant>
        <vt:lpwstr/>
      </vt:variant>
      <vt:variant>
        <vt:i4>8061018</vt:i4>
      </vt:variant>
      <vt:variant>
        <vt:i4>480</vt:i4>
      </vt:variant>
      <vt:variant>
        <vt:i4>0</vt:i4>
      </vt:variant>
      <vt:variant>
        <vt:i4>5</vt:i4>
      </vt:variant>
      <vt:variant>
        <vt:lpwstr>https://www.ngfs.net/system/files/import/ngfs/medias/documents/ngfs_conceptual-framework-on-nature-related-risks.pdf</vt:lpwstr>
      </vt:variant>
      <vt:variant>
        <vt:lpwstr/>
      </vt:variant>
      <vt:variant>
        <vt:i4>4718612</vt:i4>
      </vt:variant>
      <vt:variant>
        <vt:i4>477</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4718612</vt:i4>
      </vt:variant>
      <vt:variant>
        <vt:i4>474</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3276861</vt:i4>
      </vt:variant>
      <vt:variant>
        <vt:i4>471</vt:i4>
      </vt:variant>
      <vt:variant>
        <vt:i4>0</vt:i4>
      </vt:variant>
      <vt:variant>
        <vt:i4>5</vt:i4>
      </vt:variant>
      <vt:variant>
        <vt:lpwstr>https://carbonaccountingfinancials.com/files/downloads/pcaf-standard-part-c-insurance-associated-emissions-nov-2022.pdf</vt:lpwstr>
      </vt:variant>
      <vt:variant>
        <vt:lpwstr/>
      </vt:variant>
      <vt:variant>
        <vt:i4>5636209</vt:i4>
      </vt:variant>
      <vt:variant>
        <vt:i4>468</vt:i4>
      </vt:variant>
      <vt:variant>
        <vt:i4>0</vt:i4>
      </vt:variant>
      <vt:variant>
        <vt:i4>5</vt:i4>
      </vt:variant>
      <vt:variant>
        <vt:lpwstr>https://pbafglobal.com/files/downloads/PBAF_OA2022.pdf</vt:lpwstr>
      </vt:variant>
      <vt:variant>
        <vt:lpwstr/>
      </vt:variant>
      <vt:variant>
        <vt:i4>1245255</vt:i4>
      </vt:variant>
      <vt:variant>
        <vt:i4>465</vt:i4>
      </vt:variant>
      <vt:variant>
        <vt:i4>0</vt:i4>
      </vt:variant>
      <vt:variant>
        <vt:i4>5</vt:i4>
      </vt:variant>
      <vt:variant>
        <vt:lpwstr>https://eur-lex.europa.eu/legal-content/en/TXT/?uri=CELEX:32023R2772</vt:lpwstr>
      </vt:variant>
      <vt:variant>
        <vt:lpwstr/>
      </vt:variant>
      <vt:variant>
        <vt:i4>6881322</vt:i4>
      </vt:variant>
      <vt:variant>
        <vt:i4>462</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1245255</vt:i4>
      </vt:variant>
      <vt:variant>
        <vt:i4>459</vt:i4>
      </vt:variant>
      <vt:variant>
        <vt:i4>0</vt:i4>
      </vt:variant>
      <vt:variant>
        <vt:i4>5</vt:i4>
      </vt:variant>
      <vt:variant>
        <vt:lpwstr>https://eur-lex.europa.eu/legal-content/en/TXT/?uri=CELEX:32023R2772</vt:lpwstr>
      </vt:variant>
      <vt:variant>
        <vt:lpwstr/>
      </vt:variant>
      <vt:variant>
        <vt:i4>6881322</vt:i4>
      </vt:variant>
      <vt:variant>
        <vt:i4>456</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3211278</vt:i4>
      </vt:variant>
      <vt:variant>
        <vt:i4>453</vt:i4>
      </vt:variant>
      <vt:variant>
        <vt:i4>0</vt:i4>
      </vt:variant>
      <vt:variant>
        <vt:i4>5</vt:i4>
      </vt:variant>
      <vt:variant>
        <vt:lpwstr>https://capitalscoalition.org/capitals-approach/natural-capital-protocol/?fwp_filter_tabs=guide_supplement</vt:lpwstr>
      </vt:variant>
      <vt:variant>
        <vt:lpwstr/>
      </vt:variant>
      <vt:variant>
        <vt:i4>6881322</vt:i4>
      </vt:variant>
      <vt:variant>
        <vt:i4>450</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3276861</vt:i4>
      </vt:variant>
      <vt:variant>
        <vt:i4>447</vt:i4>
      </vt:variant>
      <vt:variant>
        <vt:i4>0</vt:i4>
      </vt:variant>
      <vt:variant>
        <vt:i4>5</vt:i4>
      </vt:variant>
      <vt:variant>
        <vt:lpwstr>https://carbonaccountingfinancials.com/files/downloads/pcaf-standard-part-c-insurance-associated-emissions-nov-2022.pdf</vt:lpwstr>
      </vt:variant>
      <vt:variant>
        <vt:lpwstr/>
      </vt:variant>
      <vt:variant>
        <vt:i4>3276861</vt:i4>
      </vt:variant>
      <vt:variant>
        <vt:i4>444</vt:i4>
      </vt:variant>
      <vt:variant>
        <vt:i4>0</vt:i4>
      </vt:variant>
      <vt:variant>
        <vt:i4>5</vt:i4>
      </vt:variant>
      <vt:variant>
        <vt:lpwstr>https://carbonaccountingfinancials.com/files/downloads/pcaf-standard-part-c-insurance-associated-emissions-nov-2022.pdf</vt:lpwstr>
      </vt:variant>
      <vt:variant>
        <vt:lpwstr/>
      </vt:variant>
      <vt:variant>
        <vt:i4>3276861</vt:i4>
      </vt:variant>
      <vt:variant>
        <vt:i4>441</vt:i4>
      </vt:variant>
      <vt:variant>
        <vt:i4>0</vt:i4>
      </vt:variant>
      <vt:variant>
        <vt:i4>5</vt:i4>
      </vt:variant>
      <vt:variant>
        <vt:lpwstr>https://carbonaccountingfinancials.com/files/downloads/pcaf-standard-part-c-insurance-associated-emissions-nov-2022.pdf</vt:lpwstr>
      </vt:variant>
      <vt:variant>
        <vt:lpwstr/>
      </vt:variant>
      <vt:variant>
        <vt:i4>3276861</vt:i4>
      </vt:variant>
      <vt:variant>
        <vt:i4>438</vt:i4>
      </vt:variant>
      <vt:variant>
        <vt:i4>0</vt:i4>
      </vt:variant>
      <vt:variant>
        <vt:i4>5</vt:i4>
      </vt:variant>
      <vt:variant>
        <vt:lpwstr>https://carbonaccountingfinancials.com/files/downloads/pcaf-standard-part-c-insurance-associated-emissions-nov-2022.pdf</vt:lpwstr>
      </vt:variant>
      <vt:variant>
        <vt:lpwstr/>
      </vt:variant>
      <vt:variant>
        <vt:i4>3276861</vt:i4>
      </vt:variant>
      <vt:variant>
        <vt:i4>435</vt:i4>
      </vt:variant>
      <vt:variant>
        <vt:i4>0</vt:i4>
      </vt:variant>
      <vt:variant>
        <vt:i4>5</vt:i4>
      </vt:variant>
      <vt:variant>
        <vt:lpwstr>https://carbonaccountingfinancials.com/files/downloads/pcaf-standard-part-c-insurance-associated-emissions-nov-2022.pdf</vt:lpwstr>
      </vt:variant>
      <vt:variant>
        <vt:lpwstr/>
      </vt:variant>
      <vt:variant>
        <vt:i4>4718612</vt:i4>
      </vt:variant>
      <vt:variant>
        <vt:i4>432</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4718612</vt:i4>
      </vt:variant>
      <vt:variant>
        <vt:i4>429</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3997777</vt:i4>
      </vt:variant>
      <vt:variant>
        <vt:i4>426</vt:i4>
      </vt:variant>
      <vt:variant>
        <vt:i4>0</vt:i4>
      </vt:variant>
      <vt:variant>
        <vt:i4>5</vt:i4>
      </vt:variant>
      <vt:variant>
        <vt:lpwstr>https://www.cisl.cam.ac.uk/files/opportunity-use-case-ms_amlin.pdf</vt:lpwstr>
      </vt:variant>
      <vt:variant>
        <vt:lpwstr/>
      </vt:variant>
      <vt:variant>
        <vt:i4>4718621</vt:i4>
      </vt:variant>
      <vt:variant>
        <vt:i4>423</vt:i4>
      </vt:variant>
      <vt:variant>
        <vt:i4>0</vt:i4>
      </vt:variant>
      <vt:variant>
        <vt:i4>5</vt:i4>
      </vt:variant>
      <vt:variant>
        <vt:lpwstr>https://www.cisl.cam.ac.uk/files/opportunity-use-case-howden.pdf</vt:lpwstr>
      </vt:variant>
      <vt:variant>
        <vt:lpwstr/>
      </vt:variant>
      <vt:variant>
        <vt:i4>4718612</vt:i4>
      </vt:variant>
      <vt:variant>
        <vt:i4>420</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4718612</vt:i4>
      </vt:variant>
      <vt:variant>
        <vt:i4>417</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1441834</vt:i4>
      </vt:variant>
      <vt:variant>
        <vt:i4>414</vt:i4>
      </vt:variant>
      <vt:variant>
        <vt:i4>0</vt:i4>
      </vt:variant>
      <vt:variant>
        <vt:i4>5</vt:i4>
      </vt:variant>
      <vt:variant>
        <vt:lpwstr>https://www.eiopa.europa.eu/document/download/b6411d3b-50fd-4a1f-a2fa-39135594ff9b_en?filename=EIOPA-BoS-24-455%20Consultation%20Paper%20on%20a%20report%20on%20biodiversity%20risk%20management%20by%20insurers.pdf</vt:lpwstr>
      </vt:variant>
      <vt:variant>
        <vt:lpwstr/>
      </vt:variant>
      <vt:variant>
        <vt:i4>4718612</vt:i4>
      </vt:variant>
      <vt:variant>
        <vt:i4>411</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4718612</vt:i4>
      </vt:variant>
      <vt:variant>
        <vt:i4>408</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5636209</vt:i4>
      </vt:variant>
      <vt:variant>
        <vt:i4>405</vt:i4>
      </vt:variant>
      <vt:variant>
        <vt:i4>0</vt:i4>
      </vt:variant>
      <vt:variant>
        <vt:i4>5</vt:i4>
      </vt:variant>
      <vt:variant>
        <vt:lpwstr>https://pbafglobal.com/files/downloads/PBAF_OA2022.pdf</vt:lpwstr>
      </vt:variant>
      <vt:variant>
        <vt:lpwstr/>
      </vt:variant>
      <vt:variant>
        <vt:i4>5505045</vt:i4>
      </vt:variant>
      <vt:variant>
        <vt:i4>402</vt:i4>
      </vt:variant>
      <vt:variant>
        <vt:i4>0</vt:i4>
      </vt:variant>
      <vt:variant>
        <vt:i4>5</vt:i4>
      </vt:variant>
      <vt:variant>
        <vt:lpwstr>https://www.wtwco.com/en-id/insights/2025/01/wtw-natural-catastrophe-review-2024</vt:lpwstr>
      </vt:variant>
      <vt:variant>
        <vt:lpwstr/>
      </vt:variant>
      <vt:variant>
        <vt:i4>1114194</vt:i4>
      </vt:variant>
      <vt:variant>
        <vt:i4>399</vt:i4>
      </vt:variant>
      <vt:variant>
        <vt:i4>0</vt:i4>
      </vt:variant>
      <vt:variant>
        <vt:i4>5</vt:i4>
      </vt:variant>
      <vt:variant>
        <vt:lpwstr>https://www.pwc.com/gx/en/strategy-and-business/content/sbpwc-2023-04-19-Managing-nature-risks-v2.pdf</vt:lpwstr>
      </vt:variant>
      <vt:variant>
        <vt:lpwstr/>
      </vt:variant>
      <vt:variant>
        <vt:i4>5636161</vt:i4>
      </vt:variant>
      <vt:variant>
        <vt:i4>396</vt:i4>
      </vt:variant>
      <vt:variant>
        <vt:i4>0</vt:i4>
      </vt:variant>
      <vt:variant>
        <vt:i4>5</vt:i4>
      </vt:variant>
      <vt:variant>
        <vt:lpwstr>https://www.worldwildlife.org/publications/2024-living-planet-report</vt:lpwstr>
      </vt:variant>
      <vt:variant>
        <vt:lpwstr/>
      </vt:variant>
      <vt:variant>
        <vt:i4>4718612</vt:i4>
      </vt:variant>
      <vt:variant>
        <vt:i4>393</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1441834</vt:i4>
      </vt:variant>
      <vt:variant>
        <vt:i4>390</vt:i4>
      </vt:variant>
      <vt:variant>
        <vt:i4>0</vt:i4>
      </vt:variant>
      <vt:variant>
        <vt:i4>5</vt:i4>
      </vt:variant>
      <vt:variant>
        <vt:lpwstr>https://www.eiopa.europa.eu/document/download/b6411d3b-50fd-4a1f-a2fa-39135594ff9b_en?filename=EIOPA-BoS-24-455%20Consultation%20Paper%20on%20a%20report%20on%20biodiversity%20risk%20management%20by%20insurers.pdf</vt:lpwstr>
      </vt:variant>
      <vt:variant>
        <vt:lpwstr/>
      </vt:variant>
      <vt:variant>
        <vt:i4>1245255</vt:i4>
      </vt:variant>
      <vt:variant>
        <vt:i4>387</vt:i4>
      </vt:variant>
      <vt:variant>
        <vt:i4>0</vt:i4>
      </vt:variant>
      <vt:variant>
        <vt:i4>5</vt:i4>
      </vt:variant>
      <vt:variant>
        <vt:lpwstr>https://eur-lex.europa.eu/legal-content/en/TXT/?uri=CELEX:32023R2772</vt:lpwstr>
      </vt:variant>
      <vt:variant>
        <vt:lpwstr/>
      </vt:variant>
      <vt:variant>
        <vt:i4>786524</vt:i4>
      </vt:variant>
      <vt:variant>
        <vt:i4>384</vt:i4>
      </vt:variant>
      <vt:variant>
        <vt:i4>0</vt:i4>
      </vt:variant>
      <vt:variant>
        <vt:i4>5</vt:i4>
      </vt:variant>
      <vt:variant>
        <vt:lpwstr>https://www.mas.gov.sg/regulation/guidelines/guidelines-on-environmental-risk-management-for-insurers</vt:lpwstr>
      </vt:variant>
      <vt:variant>
        <vt:lpwstr/>
      </vt:variant>
      <vt:variant>
        <vt:i4>6750324</vt:i4>
      </vt:variant>
      <vt:variant>
        <vt:i4>381</vt:i4>
      </vt:variant>
      <vt:variant>
        <vt:i4>0</vt:i4>
      </vt:variant>
      <vt:variant>
        <vt:i4>5</vt:i4>
      </vt:variant>
      <vt:variant>
        <vt:lpwstr>https://www.unepfi.org/industries/banking/navigating-nature-policy/</vt:lpwstr>
      </vt:variant>
      <vt:variant>
        <vt:lpwstr/>
      </vt:variant>
      <vt:variant>
        <vt:i4>3604597</vt:i4>
      </vt:variant>
      <vt:variant>
        <vt:i4>378</vt:i4>
      </vt:variant>
      <vt:variant>
        <vt:i4>0</vt:i4>
      </vt:variant>
      <vt:variant>
        <vt:i4>5</vt:i4>
      </vt:variant>
      <vt:variant>
        <vt:lpwstr>https://www.ifrs.org/content/dam/ifrs/publications/pdf-standards-issb/english/2023/issued/part-a/issb-2023-a-ifrs-s2-climate-related-disclosures.pdf?bypass=on</vt:lpwstr>
      </vt:variant>
      <vt:variant>
        <vt:lpwstr/>
      </vt:variant>
      <vt:variant>
        <vt:i4>6946859</vt:i4>
      </vt:variant>
      <vt:variant>
        <vt:i4>375</vt:i4>
      </vt:variant>
      <vt:variant>
        <vt:i4>0</vt:i4>
      </vt:variant>
      <vt:variant>
        <vt:i4>5</vt:i4>
      </vt:variant>
      <vt:variant>
        <vt:lpwstr>https://www.ifrs.org/content/dam/ifrs/publications/pdf-standards-issb/english/2023/issued/part-a/issb-2023-a-ifrs-s1-general-requirements-for-disclosure-of-sustainability-related-financial-information.pdf?bypass=on</vt:lpwstr>
      </vt:variant>
      <vt:variant>
        <vt:lpwstr/>
      </vt:variant>
      <vt:variant>
        <vt:i4>6684782</vt:i4>
      </vt:variant>
      <vt:variant>
        <vt:i4>372</vt:i4>
      </vt:variant>
      <vt:variant>
        <vt:i4>0</vt:i4>
      </vt:variant>
      <vt:variant>
        <vt:i4>5</vt:i4>
      </vt:variant>
      <vt:variant>
        <vt:lpwstr>https://cdn.cdp.net/guidance-production/cd607c58-d1b9-4859-9657-e053dfa4c59a/CC_ReportingGuidance_FS_Full_InvestmentCommunity_13-02-2025_09-07-41.pdf?sp=r&amp;sv=2017-11-09&amp;sr=b&amp;st=2025-02-13T09%3A08%3A07Z&amp;se=2025-02-13T11%3A08%3A07Z&amp;sig=SmSphfjLpHiKD2Y9TT7hTVpsvE1rNuMpvQsSbvwh9LY%3D</vt:lpwstr>
      </vt:variant>
      <vt:variant>
        <vt:lpwstr/>
      </vt:variant>
      <vt:variant>
        <vt:i4>8061038</vt:i4>
      </vt:variant>
      <vt:variant>
        <vt:i4>369</vt:i4>
      </vt:variant>
      <vt:variant>
        <vt:i4>0</vt:i4>
      </vt:variant>
      <vt:variant>
        <vt:i4>5</vt:i4>
      </vt:variant>
      <vt:variant>
        <vt:lpwstr>https://cdn.cdp.net/cdp-production/cms/guidance_docs/pdfs/000/005/005/original/CDP-full-corporate-questionnaire-overview_-_2024.pdf?1714053310_=</vt:lpwstr>
      </vt:variant>
      <vt:variant>
        <vt:lpwstr/>
      </vt:variant>
      <vt:variant>
        <vt:i4>7864366</vt:i4>
      </vt:variant>
      <vt:variant>
        <vt:i4>366</vt:i4>
      </vt:variant>
      <vt:variant>
        <vt:i4>0</vt:i4>
      </vt:variant>
      <vt:variant>
        <vt:i4>5</vt:i4>
      </vt:variant>
      <vt:variant>
        <vt:lpwstr>https://www.globalreporting.org/media/ulin1pss/item-06-gri-sector-standard-project-for-financial-services-insurance-sector-standard-exposure-draft.pdf</vt:lpwstr>
      </vt:variant>
      <vt:variant>
        <vt:lpwstr/>
      </vt:variant>
      <vt:variant>
        <vt:i4>7864366</vt:i4>
      </vt:variant>
      <vt:variant>
        <vt:i4>363</vt:i4>
      </vt:variant>
      <vt:variant>
        <vt:i4>0</vt:i4>
      </vt:variant>
      <vt:variant>
        <vt:i4>5</vt:i4>
      </vt:variant>
      <vt:variant>
        <vt:lpwstr>https://www.globalreporting.org/media/ulin1pss/item-06-gri-sector-standard-project-for-financial-services-insurance-sector-standard-exposure-draft.pdf</vt:lpwstr>
      </vt:variant>
      <vt:variant>
        <vt:lpwstr/>
      </vt:variant>
      <vt:variant>
        <vt:i4>1835013</vt:i4>
      </vt:variant>
      <vt:variant>
        <vt:i4>360</vt:i4>
      </vt:variant>
      <vt:variant>
        <vt:i4>0</vt:i4>
      </vt:variant>
      <vt:variant>
        <vt:i4>5</vt:i4>
      </vt:variant>
      <vt:variant>
        <vt:lpwstr>https://www.globalreporting.org/media/mqznr5mz/gri-sector-program-list-of-prioritized-sectors.pdf</vt:lpwstr>
      </vt:variant>
      <vt:variant>
        <vt:lpwstr/>
      </vt:variant>
      <vt:variant>
        <vt:i4>1966092</vt:i4>
      </vt:variant>
      <vt:variant>
        <vt:i4>357</vt:i4>
      </vt:variant>
      <vt:variant>
        <vt:i4>0</vt:i4>
      </vt:variant>
      <vt:variant>
        <vt:i4>5</vt:i4>
      </vt:variant>
      <vt:variant>
        <vt:lpwstr>https://eur-lex.europa.eu/legal-content/EN/TXT/PDF/?uri=CELEX:32022L2464</vt:lpwstr>
      </vt:variant>
      <vt:variant>
        <vt:lpwstr/>
      </vt:variant>
      <vt:variant>
        <vt:i4>6881322</vt:i4>
      </vt:variant>
      <vt:variant>
        <vt:i4>354</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6029335</vt:i4>
      </vt:variant>
      <vt:variant>
        <vt:i4>351</vt:i4>
      </vt:variant>
      <vt:variant>
        <vt:i4>0</vt:i4>
      </vt:variant>
      <vt:variant>
        <vt:i4>5</vt:i4>
      </vt:variant>
      <vt:variant>
        <vt:lpwstr>https://tnfd.global/wp-content/uploads/2023/08/Recommendations-of-the-Taskforce-on-Nature-related-Financial-Disclosures.pdf?v=1734112245</vt:lpwstr>
      </vt:variant>
      <vt:variant>
        <vt:lpwstr/>
      </vt:variant>
      <vt:variant>
        <vt:i4>2031712</vt:i4>
      </vt:variant>
      <vt:variant>
        <vt:i4>348</vt:i4>
      </vt:variant>
      <vt:variant>
        <vt:i4>0</vt:i4>
      </vt:variant>
      <vt:variant>
        <vt:i4>5</vt:i4>
      </vt:variant>
      <vt:variant>
        <vt:lpwstr>https://www.pbafglobal.com/files/downloads/PBAF_biodiversity_footprinting_standard_financed_impact2024.pdf</vt:lpwstr>
      </vt:variant>
      <vt:variant>
        <vt:lpwstr/>
      </vt:variant>
      <vt:variant>
        <vt:i4>8323150</vt:i4>
      </vt:variant>
      <vt:variant>
        <vt:i4>345</vt:i4>
      </vt:variant>
      <vt:variant>
        <vt:i4>0</vt:i4>
      </vt:variant>
      <vt:variant>
        <vt:i4>5</vt:i4>
      </vt:variant>
      <vt:variant>
        <vt:lpwstr>https://capitalscoalition.org/guide_supplement/finance-sector-supplement/</vt:lpwstr>
      </vt:variant>
      <vt:variant>
        <vt:lpwstr/>
      </vt:variant>
      <vt:variant>
        <vt:i4>8323150</vt:i4>
      </vt:variant>
      <vt:variant>
        <vt:i4>342</vt:i4>
      </vt:variant>
      <vt:variant>
        <vt:i4>0</vt:i4>
      </vt:variant>
      <vt:variant>
        <vt:i4>5</vt:i4>
      </vt:variant>
      <vt:variant>
        <vt:lpwstr>https://capitalscoalition.org/guide_supplement/finance-sector-supplement/</vt:lpwstr>
      </vt:variant>
      <vt:variant>
        <vt:lpwstr/>
      </vt:variant>
      <vt:variant>
        <vt:i4>983061</vt:i4>
      </vt:variant>
      <vt:variant>
        <vt:i4>339</vt:i4>
      </vt:variant>
      <vt:variant>
        <vt:i4>0</vt:i4>
      </vt:variant>
      <vt:variant>
        <vt:i4>5</vt:i4>
      </vt:variant>
      <vt:variant>
        <vt:lpwstr>https://www.unepfi.org/publications/accountability-for-nature-comparison-of-nature-related-assessment-and-disclosure-frameworks-and-standards-3/</vt:lpwstr>
      </vt:variant>
      <vt:variant>
        <vt:lpwstr/>
      </vt:variant>
      <vt:variant>
        <vt:i4>2949150</vt:i4>
      </vt:variant>
      <vt:variant>
        <vt:i4>336</vt:i4>
      </vt:variant>
      <vt:variant>
        <vt:i4>0</vt:i4>
      </vt:variant>
      <vt:variant>
        <vt:i4>5</vt:i4>
      </vt:variant>
      <vt:variant>
        <vt:lpwstr>https://www.ngfs.net/system/files/import/ngfs/medias/documents/ngfs_occasional_paper_green-scorpion_macrocriticality_nature_for_finance.pdf</vt:lpwstr>
      </vt:variant>
      <vt:variant>
        <vt:lpwstr/>
      </vt:variant>
      <vt:variant>
        <vt:i4>6881322</vt:i4>
      </vt:variant>
      <vt:variant>
        <vt:i4>333</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6094854</vt:i4>
      </vt:variant>
      <vt:variant>
        <vt:i4>330</vt:i4>
      </vt:variant>
      <vt:variant>
        <vt:i4>0</vt:i4>
      </vt:variant>
      <vt:variant>
        <vt:i4>5</vt:i4>
      </vt:variant>
      <vt:variant>
        <vt:lpwstr>https://www.ngfs.net/system/files/import/ngfs/medias/documents/ngfs-conceptual-framework-nature-risks.pdf</vt:lpwstr>
      </vt:variant>
      <vt:variant>
        <vt:lpwstr/>
      </vt:variant>
      <vt:variant>
        <vt:i4>6094854</vt:i4>
      </vt:variant>
      <vt:variant>
        <vt:i4>327</vt:i4>
      </vt:variant>
      <vt:variant>
        <vt:i4>0</vt:i4>
      </vt:variant>
      <vt:variant>
        <vt:i4>5</vt:i4>
      </vt:variant>
      <vt:variant>
        <vt:lpwstr>https://www.ngfs.net/system/files/import/ngfs/medias/documents/ngfs-conceptual-framework-nature-risks.pdf</vt:lpwstr>
      </vt:variant>
      <vt:variant>
        <vt:lpwstr/>
      </vt:variant>
      <vt:variant>
        <vt:i4>1245255</vt:i4>
      </vt:variant>
      <vt:variant>
        <vt:i4>324</vt:i4>
      </vt:variant>
      <vt:variant>
        <vt:i4>0</vt:i4>
      </vt:variant>
      <vt:variant>
        <vt:i4>5</vt:i4>
      </vt:variant>
      <vt:variant>
        <vt:lpwstr>https://eur-lex.europa.eu/legal-content/en/TXT/?uri=CELEX:32023R2772</vt:lpwstr>
      </vt:variant>
      <vt:variant>
        <vt:lpwstr/>
      </vt:variant>
      <vt:variant>
        <vt:i4>1245255</vt:i4>
      </vt:variant>
      <vt:variant>
        <vt:i4>321</vt:i4>
      </vt:variant>
      <vt:variant>
        <vt:i4>0</vt:i4>
      </vt:variant>
      <vt:variant>
        <vt:i4>5</vt:i4>
      </vt:variant>
      <vt:variant>
        <vt:lpwstr>https://eur-lex.europa.eu/legal-content/en/TXT/?uri=CELEX:32023R2772</vt:lpwstr>
      </vt:variant>
      <vt:variant>
        <vt:lpwstr/>
      </vt:variant>
      <vt:variant>
        <vt:i4>2949150</vt:i4>
      </vt:variant>
      <vt:variant>
        <vt:i4>318</vt:i4>
      </vt:variant>
      <vt:variant>
        <vt:i4>0</vt:i4>
      </vt:variant>
      <vt:variant>
        <vt:i4>5</vt:i4>
      </vt:variant>
      <vt:variant>
        <vt:lpwstr>https://www.ngfs.net/system/files/import/ngfs/medias/documents/ngfs_occasional_paper_green-scorpion_macrocriticality_nature_for_finance.pdf</vt:lpwstr>
      </vt:variant>
      <vt:variant>
        <vt:lpwstr/>
      </vt:variant>
      <vt:variant>
        <vt:i4>4653146</vt:i4>
      </vt:variant>
      <vt:variant>
        <vt:i4>315</vt:i4>
      </vt:variant>
      <vt:variant>
        <vt:i4>0</vt:i4>
      </vt:variant>
      <vt:variant>
        <vt:i4>5</vt:i4>
      </vt:variant>
      <vt:variant>
        <vt:lpwstr>https://wwflpr.awsassets.panda.org/downloads/2024-living-planet-report-a-system-in-peril.pdf</vt:lpwstr>
      </vt:variant>
      <vt:variant>
        <vt:lpwstr/>
      </vt:variant>
      <vt:variant>
        <vt:i4>2949150</vt:i4>
      </vt:variant>
      <vt:variant>
        <vt:i4>312</vt:i4>
      </vt:variant>
      <vt:variant>
        <vt:i4>0</vt:i4>
      </vt:variant>
      <vt:variant>
        <vt:i4>5</vt:i4>
      </vt:variant>
      <vt:variant>
        <vt:lpwstr>https://www.ngfs.net/system/files/import/ngfs/medias/documents/ngfs_occasional_paper_green-scorpion_macrocriticality_nature_for_finance.pdf</vt:lpwstr>
      </vt:variant>
      <vt:variant>
        <vt:lpwstr/>
      </vt:variant>
      <vt:variant>
        <vt:i4>6881322</vt:i4>
      </vt:variant>
      <vt:variant>
        <vt:i4>309</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1245255</vt:i4>
      </vt:variant>
      <vt:variant>
        <vt:i4>306</vt:i4>
      </vt:variant>
      <vt:variant>
        <vt:i4>0</vt:i4>
      </vt:variant>
      <vt:variant>
        <vt:i4>5</vt:i4>
      </vt:variant>
      <vt:variant>
        <vt:lpwstr>https://eur-lex.europa.eu/legal-content/en/TXT/?uri=CELEX:32023R2772</vt:lpwstr>
      </vt:variant>
      <vt:variant>
        <vt:lpwstr/>
      </vt:variant>
      <vt:variant>
        <vt:i4>6881322</vt:i4>
      </vt:variant>
      <vt:variant>
        <vt:i4>303</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6094854</vt:i4>
      </vt:variant>
      <vt:variant>
        <vt:i4>300</vt:i4>
      </vt:variant>
      <vt:variant>
        <vt:i4>0</vt:i4>
      </vt:variant>
      <vt:variant>
        <vt:i4>5</vt:i4>
      </vt:variant>
      <vt:variant>
        <vt:lpwstr>https://www.ngfs.net/system/files/import/ngfs/medias/documents/ngfs-conceptual-framework-nature-risks.pdf</vt:lpwstr>
      </vt:variant>
      <vt:variant>
        <vt:lpwstr/>
      </vt:variant>
      <vt:variant>
        <vt:i4>6094854</vt:i4>
      </vt:variant>
      <vt:variant>
        <vt:i4>297</vt:i4>
      </vt:variant>
      <vt:variant>
        <vt:i4>0</vt:i4>
      </vt:variant>
      <vt:variant>
        <vt:i4>5</vt:i4>
      </vt:variant>
      <vt:variant>
        <vt:lpwstr>https://www.ngfs.net/system/files/import/ngfs/medias/documents/ngfs-conceptual-framework-nature-risks.pdf</vt:lpwstr>
      </vt:variant>
      <vt:variant>
        <vt:lpwstr/>
      </vt:variant>
      <vt:variant>
        <vt:i4>2818166</vt:i4>
      </vt:variant>
      <vt:variant>
        <vt:i4>294</vt:i4>
      </vt:variant>
      <vt:variant>
        <vt:i4>0</vt:i4>
      </vt:variant>
      <vt:variant>
        <vt:i4>5</vt:i4>
      </vt:variant>
      <vt:variant>
        <vt:lpwstr>https://ipbes.canto.de/v/IPBES11Media/album/MGKB5?display=fitView&amp;viewIndex=0&amp;gSortingForward=false&amp;gOrderProp=uploadDate&amp;referenceTo=&amp;from=fitView</vt:lpwstr>
      </vt:variant>
      <vt:variant>
        <vt:lpwstr/>
      </vt:variant>
      <vt:variant>
        <vt:i4>2818166</vt:i4>
      </vt:variant>
      <vt:variant>
        <vt:i4>291</vt:i4>
      </vt:variant>
      <vt:variant>
        <vt:i4>0</vt:i4>
      </vt:variant>
      <vt:variant>
        <vt:i4>5</vt:i4>
      </vt:variant>
      <vt:variant>
        <vt:lpwstr>https://ipbes.canto.de/v/IPBES11Media/album/MGKB5?display=fitView&amp;viewIndex=0&amp;gSortingForward=false&amp;gOrderProp=uploadDate&amp;referenceTo=&amp;from=fitView</vt:lpwstr>
      </vt:variant>
      <vt:variant>
        <vt:lpwstr/>
      </vt:variant>
      <vt:variant>
        <vt:i4>1245255</vt:i4>
      </vt:variant>
      <vt:variant>
        <vt:i4>288</vt:i4>
      </vt:variant>
      <vt:variant>
        <vt:i4>0</vt:i4>
      </vt:variant>
      <vt:variant>
        <vt:i4>5</vt:i4>
      </vt:variant>
      <vt:variant>
        <vt:lpwstr>https://eur-lex.europa.eu/legal-content/en/TXT/?uri=CELEX:32023R2772</vt:lpwstr>
      </vt:variant>
      <vt:variant>
        <vt:lpwstr/>
      </vt:variant>
      <vt:variant>
        <vt:i4>6881322</vt:i4>
      </vt:variant>
      <vt:variant>
        <vt:i4>285</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1441834</vt:i4>
      </vt:variant>
      <vt:variant>
        <vt:i4>282</vt:i4>
      </vt:variant>
      <vt:variant>
        <vt:i4>0</vt:i4>
      </vt:variant>
      <vt:variant>
        <vt:i4>5</vt:i4>
      </vt:variant>
      <vt:variant>
        <vt:lpwstr>https://www.eiopa.europa.eu/document/download/b6411d3b-50fd-4a1f-a2fa-39135594ff9b_en?filename=EIOPA-BoS-24-455%20Consultation%20Paper%20on%20a%20report%20on%20biodiversity%20risk%20management%20by%20insurers.pdf</vt:lpwstr>
      </vt:variant>
      <vt:variant>
        <vt:lpwstr/>
      </vt:variant>
      <vt:variant>
        <vt:i4>2949150</vt:i4>
      </vt:variant>
      <vt:variant>
        <vt:i4>279</vt:i4>
      </vt:variant>
      <vt:variant>
        <vt:i4>0</vt:i4>
      </vt:variant>
      <vt:variant>
        <vt:i4>5</vt:i4>
      </vt:variant>
      <vt:variant>
        <vt:lpwstr>https://www.ngfs.net/system/files/import/ngfs/medias/documents/ngfs_occasional_paper_green-scorpion_macrocriticality_nature_for_finance.pdf</vt:lpwstr>
      </vt:variant>
      <vt:variant>
        <vt:lpwstr/>
      </vt:variant>
      <vt:variant>
        <vt:i4>1441834</vt:i4>
      </vt:variant>
      <vt:variant>
        <vt:i4>276</vt:i4>
      </vt:variant>
      <vt:variant>
        <vt:i4>0</vt:i4>
      </vt:variant>
      <vt:variant>
        <vt:i4>5</vt:i4>
      </vt:variant>
      <vt:variant>
        <vt:lpwstr>https://www.eiopa.europa.eu/document/download/b6411d3b-50fd-4a1f-a2fa-39135594ff9b_en?filename=EIOPA-BoS-24-455%20Consultation%20Paper%20on%20a%20report%20on%20biodiversity%20risk%20management%20by%20insurers.pdf</vt:lpwstr>
      </vt:variant>
      <vt:variant>
        <vt:lpwstr/>
      </vt:variant>
      <vt:variant>
        <vt:i4>2949150</vt:i4>
      </vt:variant>
      <vt:variant>
        <vt:i4>273</vt:i4>
      </vt:variant>
      <vt:variant>
        <vt:i4>0</vt:i4>
      </vt:variant>
      <vt:variant>
        <vt:i4>5</vt:i4>
      </vt:variant>
      <vt:variant>
        <vt:lpwstr>https://www.ngfs.net/system/files/import/ngfs/medias/documents/ngfs_occasional_paper_green-scorpion_macrocriticality_nature_for_finance.pdf</vt:lpwstr>
      </vt:variant>
      <vt:variant>
        <vt:lpwstr/>
      </vt:variant>
      <vt:variant>
        <vt:i4>6881322</vt:i4>
      </vt:variant>
      <vt:variant>
        <vt:i4>270</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1245255</vt:i4>
      </vt:variant>
      <vt:variant>
        <vt:i4>267</vt:i4>
      </vt:variant>
      <vt:variant>
        <vt:i4>0</vt:i4>
      </vt:variant>
      <vt:variant>
        <vt:i4>5</vt:i4>
      </vt:variant>
      <vt:variant>
        <vt:lpwstr>https://eur-lex.europa.eu/legal-content/en/TXT/?uri=CELEX:32023R2772</vt:lpwstr>
      </vt:variant>
      <vt:variant>
        <vt:lpwstr/>
      </vt:variant>
      <vt:variant>
        <vt:i4>6094854</vt:i4>
      </vt:variant>
      <vt:variant>
        <vt:i4>264</vt:i4>
      </vt:variant>
      <vt:variant>
        <vt:i4>0</vt:i4>
      </vt:variant>
      <vt:variant>
        <vt:i4>5</vt:i4>
      </vt:variant>
      <vt:variant>
        <vt:lpwstr>https://www.ngfs.net/system/files/import/ngfs/medias/documents/ngfs-conceptual-framework-nature-risks.pdf</vt:lpwstr>
      </vt:variant>
      <vt:variant>
        <vt:lpwstr/>
      </vt:variant>
      <vt:variant>
        <vt:i4>1245255</vt:i4>
      </vt:variant>
      <vt:variant>
        <vt:i4>261</vt:i4>
      </vt:variant>
      <vt:variant>
        <vt:i4>0</vt:i4>
      </vt:variant>
      <vt:variant>
        <vt:i4>5</vt:i4>
      </vt:variant>
      <vt:variant>
        <vt:lpwstr>https://eur-lex.europa.eu/legal-content/en/TXT/?uri=CELEX:32023R2772</vt:lpwstr>
      </vt:variant>
      <vt:variant>
        <vt:lpwstr/>
      </vt:variant>
      <vt:variant>
        <vt:i4>6094854</vt:i4>
      </vt:variant>
      <vt:variant>
        <vt:i4>258</vt:i4>
      </vt:variant>
      <vt:variant>
        <vt:i4>0</vt:i4>
      </vt:variant>
      <vt:variant>
        <vt:i4>5</vt:i4>
      </vt:variant>
      <vt:variant>
        <vt:lpwstr>https://www.ngfs.net/system/files/import/ngfs/medias/documents/ngfs-conceptual-framework-nature-risks.pdf</vt:lpwstr>
      </vt:variant>
      <vt:variant>
        <vt:lpwstr/>
      </vt:variant>
      <vt:variant>
        <vt:i4>3276915</vt:i4>
      </vt:variant>
      <vt:variant>
        <vt:i4>255</vt:i4>
      </vt:variant>
      <vt:variant>
        <vt:i4>0</vt:i4>
      </vt:variant>
      <vt:variant>
        <vt:i4>5</vt:i4>
      </vt:variant>
      <vt:variant>
        <vt:lpwstr>https://www.financeforbiodiversity.org/wp-content/uploads/FfB-Foundation-Unlocking-the-biodiversity-climate-nexus.pdf -</vt:lpwstr>
      </vt:variant>
      <vt:variant>
        <vt:lpwstr/>
      </vt:variant>
      <vt:variant>
        <vt:i4>6946867</vt:i4>
      </vt:variant>
      <vt:variant>
        <vt:i4>252</vt:i4>
      </vt:variant>
      <vt:variant>
        <vt:i4>0</vt:i4>
      </vt:variant>
      <vt:variant>
        <vt:i4>5</vt:i4>
      </vt:variant>
      <vt:variant>
        <vt:lpwstr>https://www.eiopa.europa.eu/system/files/2022-08/application_guidance_on_running_climate_change_materiality_assessment_and_using_climate_change_scenarios_in_the_orsa_0.pdf</vt:lpwstr>
      </vt:variant>
      <vt:variant>
        <vt:lpwstr/>
      </vt:variant>
      <vt:variant>
        <vt:i4>983061</vt:i4>
      </vt:variant>
      <vt:variant>
        <vt:i4>249</vt:i4>
      </vt:variant>
      <vt:variant>
        <vt:i4>0</vt:i4>
      </vt:variant>
      <vt:variant>
        <vt:i4>5</vt:i4>
      </vt:variant>
      <vt:variant>
        <vt:lpwstr>https://www.unepfi.org/publications/accountability-for-nature-comparison-of-nature-related-assessment-and-disclosure-frameworks-and-standards-3/</vt:lpwstr>
      </vt:variant>
      <vt:variant>
        <vt:lpwstr/>
      </vt:variant>
      <vt:variant>
        <vt:i4>5046276</vt:i4>
      </vt:variant>
      <vt:variant>
        <vt:i4>246</vt:i4>
      </vt:variant>
      <vt:variant>
        <vt:i4>0</vt:i4>
      </vt:variant>
      <vt:variant>
        <vt:i4>5</vt:i4>
      </vt:variant>
      <vt:variant>
        <vt:lpwstr>https://www.cdp.net/en/about/framework-alignment</vt:lpwstr>
      </vt:variant>
      <vt:variant>
        <vt:lpwstr/>
      </vt:variant>
      <vt:variant>
        <vt:i4>1179756</vt:i4>
      </vt:variant>
      <vt:variant>
        <vt:i4>243</vt:i4>
      </vt:variant>
      <vt:variant>
        <vt:i4>0</vt:i4>
      </vt:variant>
      <vt:variant>
        <vt:i4>5</vt:i4>
      </vt:variant>
      <vt:variant>
        <vt:lpwstr>https://tnfd.global/wp-content/uploads/2024/06/TNFD-Additional-guidance-for-financial-Institutions_v2.0.pdf?v=1728035523</vt:lpwstr>
      </vt:variant>
      <vt:variant>
        <vt:lpwstr/>
      </vt:variant>
      <vt:variant>
        <vt:i4>1245255</vt:i4>
      </vt:variant>
      <vt:variant>
        <vt:i4>240</vt:i4>
      </vt:variant>
      <vt:variant>
        <vt:i4>0</vt:i4>
      </vt:variant>
      <vt:variant>
        <vt:i4>5</vt:i4>
      </vt:variant>
      <vt:variant>
        <vt:lpwstr>https://eur-lex.europa.eu/legal-content/en/TXT/?uri=CELEX:32023R2772</vt:lpwstr>
      </vt:variant>
      <vt:variant>
        <vt:lpwstr/>
      </vt:variant>
      <vt:variant>
        <vt:i4>6881322</vt:i4>
      </vt:variant>
      <vt:variant>
        <vt:i4>237</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5046276</vt:i4>
      </vt:variant>
      <vt:variant>
        <vt:i4>234</vt:i4>
      </vt:variant>
      <vt:variant>
        <vt:i4>0</vt:i4>
      </vt:variant>
      <vt:variant>
        <vt:i4>5</vt:i4>
      </vt:variant>
      <vt:variant>
        <vt:lpwstr>https://www.cdp.net/en/about/framework-alignment</vt:lpwstr>
      </vt:variant>
      <vt:variant>
        <vt:lpwstr/>
      </vt:variant>
      <vt:variant>
        <vt:i4>1245255</vt:i4>
      </vt:variant>
      <vt:variant>
        <vt:i4>231</vt:i4>
      </vt:variant>
      <vt:variant>
        <vt:i4>0</vt:i4>
      </vt:variant>
      <vt:variant>
        <vt:i4>5</vt:i4>
      </vt:variant>
      <vt:variant>
        <vt:lpwstr>https://eur-lex.europa.eu/legal-content/en/TXT/?uri=CELEX:32023R2772</vt:lpwstr>
      </vt:variant>
      <vt:variant>
        <vt:lpwstr/>
      </vt:variant>
      <vt:variant>
        <vt:i4>6881322</vt:i4>
      </vt:variant>
      <vt:variant>
        <vt:i4>228</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3211278</vt:i4>
      </vt:variant>
      <vt:variant>
        <vt:i4>225</vt:i4>
      </vt:variant>
      <vt:variant>
        <vt:i4>0</vt:i4>
      </vt:variant>
      <vt:variant>
        <vt:i4>5</vt:i4>
      </vt:variant>
      <vt:variant>
        <vt:lpwstr>https://capitalscoalition.org/capitals-approach/natural-capital-protocol/?fwp_filter_tabs=guide_supplement</vt:lpwstr>
      </vt:variant>
      <vt:variant>
        <vt:lpwstr/>
      </vt:variant>
      <vt:variant>
        <vt:i4>1245255</vt:i4>
      </vt:variant>
      <vt:variant>
        <vt:i4>222</vt:i4>
      </vt:variant>
      <vt:variant>
        <vt:i4>0</vt:i4>
      </vt:variant>
      <vt:variant>
        <vt:i4>5</vt:i4>
      </vt:variant>
      <vt:variant>
        <vt:lpwstr>https://eur-lex.europa.eu/legal-content/en/TXT/?uri=CELEX:32023R2772</vt:lpwstr>
      </vt:variant>
      <vt:variant>
        <vt:lpwstr/>
      </vt:variant>
      <vt:variant>
        <vt:i4>6881322</vt:i4>
      </vt:variant>
      <vt:variant>
        <vt:i4>219</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5046276</vt:i4>
      </vt:variant>
      <vt:variant>
        <vt:i4>216</vt:i4>
      </vt:variant>
      <vt:variant>
        <vt:i4>0</vt:i4>
      </vt:variant>
      <vt:variant>
        <vt:i4>5</vt:i4>
      </vt:variant>
      <vt:variant>
        <vt:lpwstr>https://www.cdp.net/en/about/framework-alignment</vt:lpwstr>
      </vt:variant>
      <vt:variant>
        <vt:lpwstr/>
      </vt:variant>
      <vt:variant>
        <vt:i4>1245255</vt:i4>
      </vt:variant>
      <vt:variant>
        <vt:i4>213</vt:i4>
      </vt:variant>
      <vt:variant>
        <vt:i4>0</vt:i4>
      </vt:variant>
      <vt:variant>
        <vt:i4>5</vt:i4>
      </vt:variant>
      <vt:variant>
        <vt:lpwstr>https://eur-lex.europa.eu/legal-content/en/TXT/?uri=CELEX:32023R2772</vt:lpwstr>
      </vt:variant>
      <vt:variant>
        <vt:lpwstr/>
      </vt:variant>
      <vt:variant>
        <vt:i4>6881322</vt:i4>
      </vt:variant>
      <vt:variant>
        <vt:i4>210</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1769478</vt:i4>
      </vt:variant>
      <vt:variant>
        <vt:i4>207</vt:i4>
      </vt:variant>
      <vt:variant>
        <vt:i4>0</vt:i4>
      </vt:variant>
      <vt:variant>
        <vt:i4>5</vt:i4>
      </vt:variant>
      <vt:variant>
        <vt:lpwstr>https://tnfd.global/wp-content/uploads/2023/09/TNFD-Glossary-of-terms-V3.0-January-2025.pdf?v=1738146236</vt:lpwstr>
      </vt:variant>
      <vt:variant>
        <vt:lpwstr/>
      </vt:variant>
      <vt:variant>
        <vt:i4>6094854</vt:i4>
      </vt:variant>
      <vt:variant>
        <vt:i4>204</vt:i4>
      </vt:variant>
      <vt:variant>
        <vt:i4>0</vt:i4>
      </vt:variant>
      <vt:variant>
        <vt:i4>5</vt:i4>
      </vt:variant>
      <vt:variant>
        <vt:lpwstr>https://www.ngfs.net/system/files/import/ngfs/medias/documents/ngfs-conceptual-framework-nature-risks.pdf</vt:lpwstr>
      </vt:variant>
      <vt:variant>
        <vt:lpwstr/>
      </vt:variant>
      <vt:variant>
        <vt:i4>1441834</vt:i4>
      </vt:variant>
      <vt:variant>
        <vt:i4>201</vt:i4>
      </vt:variant>
      <vt:variant>
        <vt:i4>0</vt:i4>
      </vt:variant>
      <vt:variant>
        <vt:i4>5</vt:i4>
      </vt:variant>
      <vt:variant>
        <vt:lpwstr>https://www.eiopa.europa.eu/document/download/b6411d3b-50fd-4a1f-a2fa-39135594ff9b_en?filename=EIOPA-BoS-24-455%20Consultation%20Paper%20on%20a%20report%20on%20biodiversity%20risk%20management%20by%20insurers.pdf</vt:lpwstr>
      </vt:variant>
      <vt:variant>
        <vt:lpwstr/>
      </vt:variant>
      <vt:variant>
        <vt:i4>8061018</vt:i4>
      </vt:variant>
      <vt:variant>
        <vt:i4>198</vt:i4>
      </vt:variant>
      <vt:variant>
        <vt:i4>0</vt:i4>
      </vt:variant>
      <vt:variant>
        <vt:i4>5</vt:i4>
      </vt:variant>
      <vt:variant>
        <vt:lpwstr>https://www.ngfs.net/system/files/import/ngfs/medias/documents/ngfs_conceptual-framework-on-nature-related-risks.pdf</vt:lpwstr>
      </vt:variant>
      <vt:variant>
        <vt:lpwstr/>
      </vt:variant>
      <vt:variant>
        <vt:i4>8323150</vt:i4>
      </vt:variant>
      <vt:variant>
        <vt:i4>195</vt:i4>
      </vt:variant>
      <vt:variant>
        <vt:i4>0</vt:i4>
      </vt:variant>
      <vt:variant>
        <vt:i4>5</vt:i4>
      </vt:variant>
      <vt:variant>
        <vt:lpwstr>https://capitalscoalition.org/guide_supplement/finance-sector-supplement/</vt:lpwstr>
      </vt:variant>
      <vt:variant>
        <vt:lpwstr/>
      </vt:variant>
      <vt:variant>
        <vt:i4>6881322</vt:i4>
      </vt:variant>
      <vt:variant>
        <vt:i4>192</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5046276</vt:i4>
      </vt:variant>
      <vt:variant>
        <vt:i4>189</vt:i4>
      </vt:variant>
      <vt:variant>
        <vt:i4>0</vt:i4>
      </vt:variant>
      <vt:variant>
        <vt:i4>5</vt:i4>
      </vt:variant>
      <vt:variant>
        <vt:lpwstr>https://www.cdp.net/en/about/framework-alignment</vt:lpwstr>
      </vt:variant>
      <vt:variant>
        <vt:lpwstr/>
      </vt:variant>
      <vt:variant>
        <vt:i4>1245255</vt:i4>
      </vt:variant>
      <vt:variant>
        <vt:i4>186</vt:i4>
      </vt:variant>
      <vt:variant>
        <vt:i4>0</vt:i4>
      </vt:variant>
      <vt:variant>
        <vt:i4>5</vt:i4>
      </vt:variant>
      <vt:variant>
        <vt:lpwstr>https://eur-lex.europa.eu/legal-content/en/TXT/?uri=CELEX:32023R2772</vt:lpwstr>
      </vt:variant>
      <vt:variant>
        <vt:lpwstr/>
      </vt:variant>
      <vt:variant>
        <vt:i4>6881322</vt:i4>
      </vt:variant>
      <vt:variant>
        <vt:i4>183</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6881322</vt:i4>
      </vt:variant>
      <vt:variant>
        <vt:i4>180</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5963878</vt:i4>
      </vt:variant>
      <vt:variant>
        <vt:i4>177</vt:i4>
      </vt:variant>
      <vt:variant>
        <vt:i4>0</vt:i4>
      </vt:variant>
      <vt:variant>
        <vt:i4>5</vt:i4>
      </vt:variant>
      <vt:variant>
        <vt:lpwstr>https://resources.unep-wcmc.org/products/WCMC_RT499</vt:lpwstr>
      </vt:variant>
      <vt:variant>
        <vt:lpwstr/>
      </vt:variant>
      <vt:variant>
        <vt:i4>3211278</vt:i4>
      </vt:variant>
      <vt:variant>
        <vt:i4>174</vt:i4>
      </vt:variant>
      <vt:variant>
        <vt:i4>0</vt:i4>
      </vt:variant>
      <vt:variant>
        <vt:i4>5</vt:i4>
      </vt:variant>
      <vt:variant>
        <vt:lpwstr>https://capitalscoalition.org/capitals-approach/natural-capital-protocol/?fwp_filter_tabs=guide_supplement</vt:lpwstr>
      </vt:variant>
      <vt:variant>
        <vt:lpwstr/>
      </vt:variant>
      <vt:variant>
        <vt:i4>1769478</vt:i4>
      </vt:variant>
      <vt:variant>
        <vt:i4>171</vt:i4>
      </vt:variant>
      <vt:variant>
        <vt:i4>0</vt:i4>
      </vt:variant>
      <vt:variant>
        <vt:i4>5</vt:i4>
      </vt:variant>
      <vt:variant>
        <vt:lpwstr>https://tnfd.global/wp-content/uploads/2023/09/TNFD-Glossary-of-terms-V3.0-January-2025.pdf?v=1738146236</vt:lpwstr>
      </vt:variant>
      <vt:variant>
        <vt:lpwstr/>
      </vt:variant>
      <vt:variant>
        <vt:i4>983061</vt:i4>
      </vt:variant>
      <vt:variant>
        <vt:i4>168</vt:i4>
      </vt:variant>
      <vt:variant>
        <vt:i4>0</vt:i4>
      </vt:variant>
      <vt:variant>
        <vt:i4>5</vt:i4>
      </vt:variant>
      <vt:variant>
        <vt:lpwstr>https://www.unepfi.org/publications/accountability-for-nature-comparison-of-nature-related-assessment-and-disclosure-frameworks-and-standards-3/</vt:lpwstr>
      </vt:variant>
      <vt:variant>
        <vt:lpwstr/>
      </vt:variant>
      <vt:variant>
        <vt:i4>983061</vt:i4>
      </vt:variant>
      <vt:variant>
        <vt:i4>165</vt:i4>
      </vt:variant>
      <vt:variant>
        <vt:i4>0</vt:i4>
      </vt:variant>
      <vt:variant>
        <vt:i4>5</vt:i4>
      </vt:variant>
      <vt:variant>
        <vt:lpwstr>https://www.unepfi.org/publications/accountability-for-nature-comparison-of-nature-related-assessment-and-disclosure-frameworks-and-standards-3/</vt:lpwstr>
      </vt:variant>
      <vt:variant>
        <vt:lpwstr/>
      </vt:variant>
      <vt:variant>
        <vt:i4>983061</vt:i4>
      </vt:variant>
      <vt:variant>
        <vt:i4>162</vt:i4>
      </vt:variant>
      <vt:variant>
        <vt:i4>0</vt:i4>
      </vt:variant>
      <vt:variant>
        <vt:i4>5</vt:i4>
      </vt:variant>
      <vt:variant>
        <vt:lpwstr>https://www.unepfi.org/publications/accountability-for-nature-comparison-of-nature-related-assessment-and-disclosure-frameworks-and-standards-3/</vt:lpwstr>
      </vt:variant>
      <vt:variant>
        <vt:lpwstr/>
      </vt:variant>
      <vt:variant>
        <vt:i4>1769478</vt:i4>
      </vt:variant>
      <vt:variant>
        <vt:i4>159</vt:i4>
      </vt:variant>
      <vt:variant>
        <vt:i4>0</vt:i4>
      </vt:variant>
      <vt:variant>
        <vt:i4>5</vt:i4>
      </vt:variant>
      <vt:variant>
        <vt:lpwstr>https://tnfd.global/wp-content/uploads/2023/09/TNFD-Glossary-of-terms-V3.0-January-2025.pdf?v=1738146236</vt:lpwstr>
      </vt:variant>
      <vt:variant>
        <vt:lpwstr/>
      </vt:variant>
      <vt:variant>
        <vt:i4>1245255</vt:i4>
      </vt:variant>
      <vt:variant>
        <vt:i4>156</vt:i4>
      </vt:variant>
      <vt:variant>
        <vt:i4>0</vt:i4>
      </vt:variant>
      <vt:variant>
        <vt:i4>5</vt:i4>
      </vt:variant>
      <vt:variant>
        <vt:lpwstr>https://eur-lex.europa.eu/legal-content/en/TXT/?uri=CELEX:32023R2772</vt:lpwstr>
      </vt:variant>
      <vt:variant>
        <vt:lpwstr/>
      </vt:variant>
      <vt:variant>
        <vt:i4>1769478</vt:i4>
      </vt:variant>
      <vt:variant>
        <vt:i4>153</vt:i4>
      </vt:variant>
      <vt:variant>
        <vt:i4>0</vt:i4>
      </vt:variant>
      <vt:variant>
        <vt:i4>5</vt:i4>
      </vt:variant>
      <vt:variant>
        <vt:lpwstr>https://tnfd.global/wp-content/uploads/2023/09/TNFD-Glossary-of-terms-V3.0-January-2025.pdf?v=1738146236</vt:lpwstr>
      </vt:variant>
      <vt:variant>
        <vt:lpwstr/>
      </vt:variant>
      <vt:variant>
        <vt:i4>544145522</vt:i4>
      </vt:variant>
      <vt:variant>
        <vt:i4>150</vt:i4>
      </vt:variant>
      <vt:variant>
        <vt:i4>0</vt:i4>
      </vt:variant>
      <vt:variant>
        <vt:i4>5</vt:i4>
      </vt:variant>
      <vt:variant>
        <vt:lpwstr>https://cdn.cdp.net/cdp-production/cms/guidance_docs/pdfs/000/005/490/original/Correspondence_between_TNFD_Disclosure_Recommendations_and_CDP’s_2024_Questionnaire.pdf</vt:lpwstr>
      </vt:variant>
      <vt:variant>
        <vt:lpwstr/>
      </vt:variant>
      <vt:variant>
        <vt:i4>4587523</vt:i4>
      </vt:variant>
      <vt:variant>
        <vt:i4>147</vt:i4>
      </vt:variant>
      <vt:variant>
        <vt:i4>0</vt:i4>
      </vt:variant>
      <vt:variant>
        <vt:i4>5</vt:i4>
      </vt:variant>
      <vt:variant>
        <vt:lpwstr>https://tnfd.global/publication/interoperability-mapping-between-the-gri-standards-and-the-tnfd-recommended-disclosures-and-metrics/</vt:lpwstr>
      </vt:variant>
      <vt:variant>
        <vt:lpwstr/>
      </vt:variant>
      <vt:variant>
        <vt:i4>6619177</vt:i4>
      </vt:variant>
      <vt:variant>
        <vt:i4>144</vt:i4>
      </vt:variant>
      <vt:variant>
        <vt:i4>0</vt:i4>
      </vt:variant>
      <vt:variant>
        <vt:i4>5</vt:i4>
      </vt:variant>
      <vt:variant>
        <vt:lpwstr>https://www.efrag.org/sites/default/files/sites/webpublishing/SiteAssets/TNFD ESRS Correspondence mapping Final.pdf</vt:lpwstr>
      </vt:variant>
      <vt:variant>
        <vt:lpwstr/>
      </vt:variant>
      <vt:variant>
        <vt:i4>983061</vt:i4>
      </vt:variant>
      <vt:variant>
        <vt:i4>141</vt:i4>
      </vt:variant>
      <vt:variant>
        <vt:i4>0</vt:i4>
      </vt:variant>
      <vt:variant>
        <vt:i4>5</vt:i4>
      </vt:variant>
      <vt:variant>
        <vt:lpwstr>https://www.unepfi.org/publications/accountability-for-nature-comparison-of-nature-related-assessment-and-disclosure-frameworks-and-standards-3/</vt:lpwstr>
      </vt:variant>
      <vt:variant>
        <vt:lpwstr/>
      </vt:variant>
      <vt:variant>
        <vt:i4>6881322</vt:i4>
      </vt:variant>
      <vt:variant>
        <vt:i4>138</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5832788</vt:i4>
      </vt:variant>
      <vt:variant>
        <vt:i4>135</vt:i4>
      </vt:variant>
      <vt:variant>
        <vt:i4>0</vt:i4>
      </vt:variant>
      <vt:variant>
        <vt:i4>5</vt:i4>
      </vt:variant>
      <vt:variant>
        <vt:lpwstr>https://www.cbd.int/convention/articles?a=cbd-02</vt:lpwstr>
      </vt:variant>
      <vt:variant>
        <vt:lpwstr/>
      </vt:variant>
      <vt:variant>
        <vt:i4>5505049</vt:i4>
      </vt:variant>
      <vt:variant>
        <vt:i4>132</vt:i4>
      </vt:variant>
      <vt:variant>
        <vt:i4>0</vt:i4>
      </vt:variant>
      <vt:variant>
        <vt:i4>5</vt:i4>
      </vt:variant>
      <vt:variant>
        <vt:lpwstr>https://seea.un.org/ecosystem-accounting</vt:lpwstr>
      </vt:variant>
      <vt:variant>
        <vt:lpwstr/>
      </vt:variant>
      <vt:variant>
        <vt:i4>6881322</vt:i4>
      </vt:variant>
      <vt:variant>
        <vt:i4>129</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5505049</vt:i4>
      </vt:variant>
      <vt:variant>
        <vt:i4>126</vt:i4>
      </vt:variant>
      <vt:variant>
        <vt:i4>0</vt:i4>
      </vt:variant>
      <vt:variant>
        <vt:i4>5</vt:i4>
      </vt:variant>
      <vt:variant>
        <vt:lpwstr>https://seea.un.org/ecosystem-accounting</vt:lpwstr>
      </vt:variant>
      <vt:variant>
        <vt:lpwstr/>
      </vt:variant>
      <vt:variant>
        <vt:i4>5832788</vt:i4>
      </vt:variant>
      <vt:variant>
        <vt:i4>123</vt:i4>
      </vt:variant>
      <vt:variant>
        <vt:i4>0</vt:i4>
      </vt:variant>
      <vt:variant>
        <vt:i4>5</vt:i4>
      </vt:variant>
      <vt:variant>
        <vt:lpwstr>https://www.cbd.int/convention/articles?a=cbd-02</vt:lpwstr>
      </vt:variant>
      <vt:variant>
        <vt:lpwstr/>
      </vt:variant>
      <vt:variant>
        <vt:i4>5767193</vt:i4>
      </vt:variant>
      <vt:variant>
        <vt:i4>120</vt:i4>
      </vt:variant>
      <vt:variant>
        <vt:i4>0</vt:i4>
      </vt:variant>
      <vt:variant>
        <vt:i4>5</vt:i4>
      </vt:variant>
      <vt:variant>
        <vt:lpwstr>https://www.ipbes.net/document-library-catalogue/ipbes-conceptual-framework-connecting-nature-and-people</vt:lpwstr>
      </vt:variant>
      <vt:variant>
        <vt:lpwstr/>
      </vt:variant>
      <vt:variant>
        <vt:i4>2949150</vt:i4>
      </vt:variant>
      <vt:variant>
        <vt:i4>117</vt:i4>
      </vt:variant>
      <vt:variant>
        <vt:i4>0</vt:i4>
      </vt:variant>
      <vt:variant>
        <vt:i4>5</vt:i4>
      </vt:variant>
      <vt:variant>
        <vt:lpwstr>https://www.ngfs.net/system/files/import/ngfs/medias/documents/ngfs_occasional_paper_green-scorpion_macrocriticality_nature_for_finance.pdf</vt:lpwstr>
      </vt:variant>
      <vt:variant>
        <vt:lpwstr/>
      </vt:variant>
      <vt:variant>
        <vt:i4>4718612</vt:i4>
      </vt:variant>
      <vt:variant>
        <vt:i4>114</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1441834</vt:i4>
      </vt:variant>
      <vt:variant>
        <vt:i4>111</vt:i4>
      </vt:variant>
      <vt:variant>
        <vt:i4>0</vt:i4>
      </vt:variant>
      <vt:variant>
        <vt:i4>5</vt:i4>
      </vt:variant>
      <vt:variant>
        <vt:lpwstr>https://www.eiopa.europa.eu/document/download/b6411d3b-50fd-4a1f-a2fa-39135594ff9b_en?filename=EIOPA-BoS-24-455%20Consultation%20Paper%20on%20a%20report%20on%20biodiversity%20risk%20management%20by%20insurers.pdf</vt:lpwstr>
      </vt:variant>
      <vt:variant>
        <vt:lpwstr/>
      </vt:variant>
      <vt:variant>
        <vt:i4>1245255</vt:i4>
      </vt:variant>
      <vt:variant>
        <vt:i4>108</vt:i4>
      </vt:variant>
      <vt:variant>
        <vt:i4>0</vt:i4>
      </vt:variant>
      <vt:variant>
        <vt:i4>5</vt:i4>
      </vt:variant>
      <vt:variant>
        <vt:lpwstr>https://eur-lex.europa.eu/legal-content/en/TXT/?uri=CELEX:32023R2772</vt:lpwstr>
      </vt:variant>
      <vt:variant>
        <vt:lpwstr/>
      </vt:variant>
      <vt:variant>
        <vt:i4>8061018</vt:i4>
      </vt:variant>
      <vt:variant>
        <vt:i4>105</vt:i4>
      </vt:variant>
      <vt:variant>
        <vt:i4>0</vt:i4>
      </vt:variant>
      <vt:variant>
        <vt:i4>5</vt:i4>
      </vt:variant>
      <vt:variant>
        <vt:lpwstr>https://www.ngfs.net/system/files/import/ngfs/medias/documents/ngfs_conceptual-framework-on-nature-related-risks.pdf</vt:lpwstr>
      </vt:variant>
      <vt:variant>
        <vt:lpwstr/>
      </vt:variant>
      <vt:variant>
        <vt:i4>983061</vt:i4>
      </vt:variant>
      <vt:variant>
        <vt:i4>102</vt:i4>
      </vt:variant>
      <vt:variant>
        <vt:i4>0</vt:i4>
      </vt:variant>
      <vt:variant>
        <vt:i4>5</vt:i4>
      </vt:variant>
      <vt:variant>
        <vt:lpwstr>https://www.unepfi.org/publications/accountability-for-nature-comparison-of-nature-related-assessment-and-disclosure-frameworks-and-standards-3/</vt:lpwstr>
      </vt:variant>
      <vt:variant>
        <vt:lpwstr/>
      </vt:variant>
      <vt:variant>
        <vt:i4>7209081</vt:i4>
      </vt:variant>
      <vt:variant>
        <vt:i4>99</vt:i4>
      </vt:variant>
      <vt:variant>
        <vt:i4>0</vt:i4>
      </vt:variant>
      <vt:variant>
        <vt:i4>5</vt:i4>
      </vt:variant>
      <vt:variant>
        <vt:lpwstr>https://www.ifrs.org/news-and-events/news/2024/04/issb-commence-research-projects-risks-opportunities-nature-human-capital/</vt:lpwstr>
      </vt:variant>
      <vt:variant>
        <vt:lpwstr/>
      </vt:variant>
      <vt:variant>
        <vt:i4>6619177</vt:i4>
      </vt:variant>
      <vt:variant>
        <vt:i4>96</vt:i4>
      </vt:variant>
      <vt:variant>
        <vt:i4>0</vt:i4>
      </vt:variant>
      <vt:variant>
        <vt:i4>5</vt:i4>
      </vt:variant>
      <vt:variant>
        <vt:lpwstr>https://www.efrag.org/sites/default/files/sites/webpublishing/SiteAssets/TNFD ESRS Correspondence mapping Final.pdf</vt:lpwstr>
      </vt:variant>
      <vt:variant>
        <vt:lpwstr/>
      </vt:variant>
      <vt:variant>
        <vt:i4>1245255</vt:i4>
      </vt:variant>
      <vt:variant>
        <vt:i4>93</vt:i4>
      </vt:variant>
      <vt:variant>
        <vt:i4>0</vt:i4>
      </vt:variant>
      <vt:variant>
        <vt:i4>5</vt:i4>
      </vt:variant>
      <vt:variant>
        <vt:lpwstr>https://eur-lex.europa.eu/legal-content/en/TXT/?uri=CELEX:32023R2772</vt:lpwstr>
      </vt:variant>
      <vt:variant>
        <vt:lpwstr/>
      </vt:variant>
      <vt:variant>
        <vt:i4>5046276</vt:i4>
      </vt:variant>
      <vt:variant>
        <vt:i4>90</vt:i4>
      </vt:variant>
      <vt:variant>
        <vt:i4>0</vt:i4>
      </vt:variant>
      <vt:variant>
        <vt:i4>5</vt:i4>
      </vt:variant>
      <vt:variant>
        <vt:lpwstr>https://www.cdp.net/en/about/framework-alignment</vt:lpwstr>
      </vt:variant>
      <vt:variant>
        <vt:lpwstr/>
      </vt:variant>
      <vt:variant>
        <vt:i4>6881322</vt:i4>
      </vt:variant>
      <vt:variant>
        <vt:i4>87</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6881322</vt:i4>
      </vt:variant>
      <vt:variant>
        <vt:i4>84</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4718612</vt:i4>
      </vt:variant>
      <vt:variant>
        <vt:i4>81</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6881322</vt:i4>
      </vt:variant>
      <vt:variant>
        <vt:i4>78</vt:i4>
      </vt:variant>
      <vt:variant>
        <vt:i4>0</vt:i4>
      </vt:variant>
      <vt:variant>
        <vt:i4>5</vt:i4>
      </vt:variant>
      <vt:variant>
        <vt:lpwstr>https://tnfd.global/wp-content/uploads/2023/08/Guidance_on_the_identification_and_assessment_of_nature-related_Issues_The_TNFD_LEAP_approach_V1.1_October2023.pdf?v=1698403116</vt:lpwstr>
      </vt:variant>
      <vt:variant>
        <vt:lpwstr/>
      </vt:variant>
      <vt:variant>
        <vt:i4>6422569</vt:i4>
      </vt:variant>
      <vt:variant>
        <vt:i4>75</vt:i4>
      </vt:variant>
      <vt:variant>
        <vt:i4>0</vt:i4>
      </vt:variant>
      <vt:variant>
        <vt:i4>5</vt:i4>
      </vt:variant>
      <vt:variant>
        <vt:lpwstr>https://pbafglobal.com/standard</vt:lpwstr>
      </vt:variant>
      <vt:variant>
        <vt:lpwstr>standard</vt:lpwstr>
      </vt:variant>
      <vt:variant>
        <vt:i4>4718612</vt:i4>
      </vt:variant>
      <vt:variant>
        <vt:i4>72</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4587539</vt:i4>
      </vt:variant>
      <vt:variant>
        <vt:i4>69</vt:i4>
      </vt:variant>
      <vt:variant>
        <vt:i4>0</vt:i4>
      </vt:variant>
      <vt:variant>
        <vt:i4>5</vt:i4>
      </vt:variant>
      <vt:variant>
        <vt:lpwstr>https://sciencebasedtargetsnetwork.org/companies/take-action/</vt:lpwstr>
      </vt:variant>
      <vt:variant>
        <vt:lpwstr/>
      </vt:variant>
      <vt:variant>
        <vt:i4>6488170</vt:i4>
      </vt:variant>
      <vt:variant>
        <vt:i4>66</vt:i4>
      </vt:variant>
      <vt:variant>
        <vt:i4>0</vt:i4>
      </vt:variant>
      <vt:variant>
        <vt:i4>5</vt:i4>
      </vt:variant>
      <vt:variant>
        <vt:lpwstr>https://capitalscoalition.org/business-actions/</vt:lpwstr>
      </vt:variant>
      <vt:variant>
        <vt:lpwstr/>
      </vt:variant>
      <vt:variant>
        <vt:i4>983061</vt:i4>
      </vt:variant>
      <vt:variant>
        <vt:i4>63</vt:i4>
      </vt:variant>
      <vt:variant>
        <vt:i4>0</vt:i4>
      </vt:variant>
      <vt:variant>
        <vt:i4>5</vt:i4>
      </vt:variant>
      <vt:variant>
        <vt:lpwstr>https://www.unepfi.org/publications/accountability-for-nature-comparison-of-nature-related-assessment-and-disclosure-frameworks-and-standards-3/</vt:lpwstr>
      </vt:variant>
      <vt:variant>
        <vt:lpwstr/>
      </vt:variant>
      <vt:variant>
        <vt:i4>983061</vt:i4>
      </vt:variant>
      <vt:variant>
        <vt:i4>60</vt:i4>
      </vt:variant>
      <vt:variant>
        <vt:i4>0</vt:i4>
      </vt:variant>
      <vt:variant>
        <vt:i4>5</vt:i4>
      </vt:variant>
      <vt:variant>
        <vt:lpwstr>https://www.unepfi.org/publications/accountability-for-nature-comparison-of-nature-related-assessment-and-disclosure-frameworks-and-standards-3/</vt:lpwstr>
      </vt:variant>
      <vt:variant>
        <vt:lpwstr/>
      </vt:variant>
      <vt:variant>
        <vt:i4>8192045</vt:i4>
      </vt:variant>
      <vt:variant>
        <vt:i4>57</vt:i4>
      </vt:variant>
      <vt:variant>
        <vt:i4>0</vt:i4>
      </vt:variant>
      <vt:variant>
        <vt:i4>5</vt:i4>
      </vt:variant>
      <vt:variant>
        <vt:lpwstr>https://pbafglobal.com/standard</vt:lpwstr>
      </vt:variant>
      <vt:variant>
        <vt:lpwstr/>
      </vt:variant>
      <vt:variant>
        <vt:i4>983061</vt:i4>
      </vt:variant>
      <vt:variant>
        <vt:i4>54</vt:i4>
      </vt:variant>
      <vt:variant>
        <vt:i4>0</vt:i4>
      </vt:variant>
      <vt:variant>
        <vt:i4>5</vt:i4>
      </vt:variant>
      <vt:variant>
        <vt:lpwstr>https://www.unepfi.org/publications/accountability-for-nature-comparison-of-nature-related-assessment-and-disclosure-frameworks-and-standards-3/</vt:lpwstr>
      </vt:variant>
      <vt:variant>
        <vt:lpwstr/>
      </vt:variant>
      <vt:variant>
        <vt:i4>983061</vt:i4>
      </vt:variant>
      <vt:variant>
        <vt:i4>51</vt:i4>
      </vt:variant>
      <vt:variant>
        <vt:i4>0</vt:i4>
      </vt:variant>
      <vt:variant>
        <vt:i4>5</vt:i4>
      </vt:variant>
      <vt:variant>
        <vt:lpwstr>https://www.unepfi.org/publications/accountability-for-nature-comparison-of-nature-related-assessment-and-disclosure-frameworks-and-standards-3/</vt:lpwstr>
      </vt:variant>
      <vt:variant>
        <vt:lpwstr/>
      </vt:variant>
      <vt:variant>
        <vt:i4>983061</vt:i4>
      </vt:variant>
      <vt:variant>
        <vt:i4>48</vt:i4>
      </vt:variant>
      <vt:variant>
        <vt:i4>0</vt:i4>
      </vt:variant>
      <vt:variant>
        <vt:i4>5</vt:i4>
      </vt:variant>
      <vt:variant>
        <vt:lpwstr>https://www.unepfi.org/publications/accountability-for-nature-comparison-of-nature-related-assessment-and-disclosure-frameworks-and-standards-3/</vt:lpwstr>
      </vt:variant>
      <vt:variant>
        <vt:lpwstr/>
      </vt:variant>
      <vt:variant>
        <vt:i4>6488170</vt:i4>
      </vt:variant>
      <vt:variant>
        <vt:i4>45</vt:i4>
      </vt:variant>
      <vt:variant>
        <vt:i4>0</vt:i4>
      </vt:variant>
      <vt:variant>
        <vt:i4>5</vt:i4>
      </vt:variant>
      <vt:variant>
        <vt:lpwstr>https://capitalscoalition.org/business-actions/</vt:lpwstr>
      </vt:variant>
      <vt:variant>
        <vt:lpwstr/>
      </vt:variant>
      <vt:variant>
        <vt:i4>4718612</vt:i4>
      </vt:variant>
      <vt:variant>
        <vt:i4>42</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4718612</vt:i4>
      </vt:variant>
      <vt:variant>
        <vt:i4>39</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4718612</vt:i4>
      </vt:variant>
      <vt:variant>
        <vt:i4>36</vt:i4>
      </vt:variant>
      <vt:variant>
        <vt:i4>0</vt:i4>
      </vt:variant>
      <vt:variant>
        <vt:i4>5</vt:i4>
      </vt:variant>
      <vt:variant>
        <vt:lpwstr>https://www.unepfi.org/industries/insurance/insuring-a-resilient-nature-positive-future-global-guide-for-insurers-on-setting-priority-actions-for-nature/</vt:lpwstr>
      </vt:variant>
      <vt:variant>
        <vt:lpwstr/>
      </vt:variant>
      <vt:variant>
        <vt:i4>8192097</vt:i4>
      </vt:variant>
      <vt:variant>
        <vt:i4>33</vt:i4>
      </vt:variant>
      <vt:variant>
        <vt:i4>0</vt:i4>
      </vt:variant>
      <vt:variant>
        <vt:i4>5</vt:i4>
      </vt:variant>
      <vt:variant>
        <vt:lpwstr>https://www.unepfi.org/insurance/insurance/projects/nature-positive-insurance/</vt:lpwstr>
      </vt:variant>
      <vt:variant>
        <vt:lpwstr/>
      </vt:variant>
      <vt:variant>
        <vt:i4>8257592</vt:i4>
      </vt:variant>
      <vt:variant>
        <vt:i4>30</vt:i4>
      </vt:variant>
      <vt:variant>
        <vt:i4>0</vt:i4>
      </vt:variant>
      <vt:variant>
        <vt:i4>5</vt:i4>
      </vt:variant>
      <vt:variant>
        <vt:lpwstr>https://www.unepfi.org/industries/insurance/nature-positive-insurance-evolving-thinking-and-practices/</vt:lpwstr>
      </vt:variant>
      <vt:variant>
        <vt:lpwstr/>
      </vt:variant>
      <vt:variant>
        <vt:i4>1704024</vt:i4>
      </vt:variant>
      <vt:variant>
        <vt:i4>27</vt:i4>
      </vt:variant>
      <vt:variant>
        <vt:i4>0</vt:i4>
      </vt:variant>
      <vt:variant>
        <vt:i4>5</vt:i4>
      </vt:variant>
      <vt:variant>
        <vt:lpwstr>https://www.unepfi.org/wordpress/wp-content/uploads/2022/06/PSI-Life-Health-ESG-Guide.pdf</vt:lpwstr>
      </vt:variant>
      <vt:variant>
        <vt:lpwstr/>
      </vt:variant>
      <vt:variant>
        <vt:i4>2097271</vt:i4>
      </vt:variant>
      <vt:variant>
        <vt:i4>24</vt:i4>
      </vt:variant>
      <vt:variant>
        <vt:i4>0</vt:i4>
      </vt:variant>
      <vt:variant>
        <vt:i4>5</vt:i4>
      </vt:variant>
      <vt:variant>
        <vt:lpwstr>https://www.unepfi.org/psi/wp-content/uploads/2020/06/PSI-ESG-guide-for-non-life-insurance.pdf</vt:lpwstr>
      </vt:variant>
      <vt:variant>
        <vt:lpwstr/>
      </vt:variant>
      <vt:variant>
        <vt:i4>5308443</vt:i4>
      </vt:variant>
      <vt:variant>
        <vt:i4>21</vt:i4>
      </vt:variant>
      <vt:variant>
        <vt:i4>0</vt:i4>
      </vt:variant>
      <vt:variant>
        <vt:i4>5</vt:i4>
      </vt:variant>
      <vt:variant>
        <vt:lpwstr>https://www.unepfi.org/industries/insurance/nature-positive-insurance-series/</vt:lpwstr>
      </vt:variant>
      <vt:variant>
        <vt:lpwstr/>
      </vt:variant>
      <vt:variant>
        <vt:i4>6684777</vt:i4>
      </vt:variant>
      <vt:variant>
        <vt:i4>18</vt:i4>
      </vt:variant>
      <vt:variant>
        <vt:i4>0</vt:i4>
      </vt:variant>
      <vt:variant>
        <vt:i4>5</vt:i4>
      </vt:variant>
      <vt:variant>
        <vt:lpwstr>https://www.unepfi.org/insurance/insurance/projects/global-resilience-project/</vt:lpwstr>
      </vt:variant>
      <vt:variant>
        <vt:lpwstr/>
      </vt:variant>
      <vt:variant>
        <vt:i4>4653131</vt:i4>
      </vt:variant>
      <vt:variant>
        <vt:i4>15</vt:i4>
      </vt:variant>
      <vt:variant>
        <vt:i4>0</vt:i4>
      </vt:variant>
      <vt:variant>
        <vt:i4>5</vt:i4>
      </vt:variant>
      <vt:variant>
        <vt:lpwstr>https://www.unepfi.org/industries/insurance/protecting-our-world-heritage-insuring-a-sustainable-future/</vt:lpwstr>
      </vt:variant>
      <vt:variant>
        <vt:lpwstr/>
      </vt:variant>
      <vt:variant>
        <vt:i4>589841</vt:i4>
      </vt:variant>
      <vt:variant>
        <vt:i4>12</vt:i4>
      </vt:variant>
      <vt:variant>
        <vt:i4>0</vt:i4>
      </vt:variant>
      <vt:variant>
        <vt:i4>5</vt:i4>
      </vt:variant>
      <vt:variant>
        <vt:lpwstr>https://files.worldwildlife.org/wwfcmsprod/files/Publication/file/2t1djg6spj_insuring_a_nature_positive_future___an_insurer_s_guide_to_hydropower__wwf_low_res_.pdf</vt:lpwstr>
      </vt:variant>
      <vt:variant>
        <vt:lpwstr/>
      </vt:variant>
      <vt:variant>
        <vt:i4>8192062</vt:i4>
      </vt:variant>
      <vt:variant>
        <vt:i4>9</vt:i4>
      </vt:variant>
      <vt:variant>
        <vt:i4>0</vt:i4>
      </vt:variant>
      <vt:variant>
        <vt:i4>5</vt:i4>
      </vt:variant>
      <vt:variant>
        <vt:lpwstr>https://www.unepfi.org/wordpress/wp-content/uploads/2022/10/The-Price-of-Plastic-Pollution.pdf</vt:lpwstr>
      </vt:variant>
      <vt:variant>
        <vt:lpwstr/>
      </vt:variant>
      <vt:variant>
        <vt:i4>655424</vt:i4>
      </vt:variant>
      <vt:variant>
        <vt:i4>6</vt:i4>
      </vt:variant>
      <vt:variant>
        <vt:i4>0</vt:i4>
      </vt:variant>
      <vt:variant>
        <vt:i4>5</vt:i4>
      </vt:variant>
      <vt:variant>
        <vt:lpwstr>https://www.unepfi.org/industries/insurance/psi-unwrapping-the-risks-of-plastic-pollution-to-the-insurance-industry/</vt:lpwstr>
      </vt:variant>
      <vt:variant>
        <vt:lpwstr/>
      </vt:variant>
      <vt:variant>
        <vt:i4>4784218</vt:i4>
      </vt:variant>
      <vt:variant>
        <vt:i4>3</vt:i4>
      </vt:variant>
      <vt:variant>
        <vt:i4>0</vt:i4>
      </vt:variant>
      <vt:variant>
        <vt:i4>5</vt:i4>
      </vt:variant>
      <vt:variant>
        <vt:lpwstr>https://www.unepfi.org/industries/insurance/new-risks-new-opportunities-harnessing-environmental-pollution-liability-insurance-for-a-sustainable-economy/</vt:lpwstr>
      </vt:variant>
      <vt:variant>
        <vt:lpwstr/>
      </vt:variant>
      <vt:variant>
        <vt:i4>8060986</vt:i4>
      </vt:variant>
      <vt:variant>
        <vt:i4>0</vt:i4>
      </vt:variant>
      <vt:variant>
        <vt:i4>0</vt:i4>
      </vt:variant>
      <vt:variant>
        <vt:i4>5</vt:i4>
      </vt:variant>
      <vt:variant>
        <vt:lpwstr>https://www.unepfi.org/psi/wp-content/uploads/2019/02/PSI-Oceana-IUU-fishing-guidelines.pdf</vt:lpwstr>
      </vt:variant>
      <vt:variant>
        <vt:lpwstr/>
      </vt:variant>
      <vt:variant>
        <vt:i4>7995453</vt:i4>
      </vt:variant>
      <vt:variant>
        <vt:i4>12</vt:i4>
      </vt:variant>
      <vt:variant>
        <vt:i4>0</vt:i4>
      </vt:variant>
      <vt:variant>
        <vt:i4>5</vt:i4>
      </vt:variant>
      <vt:variant>
        <vt:lpwstr>https://assets.publishing.service.gov.uk/media/602e92b2e90e07660f807b47/The_Economics_of_Biodiversity_The_Dasgupta_Review_Full_Report.pdf</vt:lpwstr>
      </vt:variant>
      <vt:variant>
        <vt:lpwstr/>
      </vt:variant>
      <vt:variant>
        <vt:i4>3670110</vt:i4>
      </vt:variant>
      <vt:variant>
        <vt:i4>9</vt:i4>
      </vt:variant>
      <vt:variant>
        <vt:i4>0</vt:i4>
      </vt:variant>
      <vt:variant>
        <vt:i4>5</vt:i4>
      </vt:variant>
      <vt:variant>
        <vt:lpwstr>mailto:ylann.karmous@un.org</vt:lpwstr>
      </vt:variant>
      <vt:variant>
        <vt:lpwstr/>
      </vt:variant>
      <vt:variant>
        <vt:i4>3670110</vt:i4>
      </vt:variant>
      <vt:variant>
        <vt:i4>6</vt:i4>
      </vt:variant>
      <vt:variant>
        <vt:i4>0</vt:i4>
      </vt:variant>
      <vt:variant>
        <vt:i4>5</vt:i4>
      </vt:variant>
      <vt:variant>
        <vt:lpwstr>mailto:ylann.karmous@un.org</vt:lpwstr>
      </vt:variant>
      <vt:variant>
        <vt:lpwstr/>
      </vt:variant>
      <vt:variant>
        <vt:i4>3670110</vt:i4>
      </vt:variant>
      <vt:variant>
        <vt:i4>3</vt:i4>
      </vt:variant>
      <vt:variant>
        <vt:i4>0</vt:i4>
      </vt:variant>
      <vt:variant>
        <vt:i4>5</vt:i4>
      </vt:variant>
      <vt:variant>
        <vt:lpwstr>mailto:ylann.karmous@un.org</vt:lpwstr>
      </vt:variant>
      <vt:variant>
        <vt:lpwstr/>
      </vt:variant>
      <vt:variant>
        <vt:i4>3670110</vt:i4>
      </vt:variant>
      <vt:variant>
        <vt:i4>0</vt:i4>
      </vt:variant>
      <vt:variant>
        <vt:i4>0</vt:i4>
      </vt:variant>
      <vt:variant>
        <vt:i4>5</vt:i4>
      </vt:variant>
      <vt:variant>
        <vt:lpwstr>mailto:ylann.karmous@un.org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Dolmans, Maurits</dc:creator>
  <cp:keywords/>
  <cp:lastModifiedBy>Verena Kraus</cp:lastModifiedBy>
  <cp:revision>2</cp:revision>
  <cp:lastPrinted>2024-07-04T14:34:00Z</cp:lastPrinted>
  <dcterms:created xsi:type="dcterms:W3CDTF">2025-11-24T10:59:00Z</dcterms:created>
  <dcterms:modified xsi:type="dcterms:W3CDTF">2025-11-24T10:59:00Z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0x010100A1BF03898B04CD418B69BE9A00542AD9</vt:lpwstr>
  </property>
  <property fmtid="{D5CDD505-2E9C-101B-9397-08002B2CF9AE}" pid="3" name="MediaServiceImageTags">
    <vt:lpwstr/>
  </property>
</Properties>
</file>